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4" w:rsidRDefault="00FC5FD4" w:rsidP="0012778C">
      <w:pPr>
        <w:ind w:left="0" w:firstLine="0"/>
      </w:pPr>
    </w:p>
    <w:p w:rsidR="0012778C" w:rsidRDefault="0012778C" w:rsidP="0012778C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LAND PATENT A CONTRACT:</w:t>
      </w:r>
    </w:p>
    <w:p w:rsidR="0012778C" w:rsidRDefault="0012778C" w:rsidP="0012778C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Zavala County Appraisal District Case</w:t>
      </w:r>
    </w:p>
    <w:p w:rsidR="0012778C" w:rsidRDefault="0012778C" w:rsidP="0012778C">
      <w:pPr>
        <w:pStyle w:val="Default"/>
        <w:rPr>
          <w:rFonts w:ascii="Arial" w:eastAsia="Times New Roman" w:hAnsi="Arial" w:cs="Arial"/>
          <w:sz w:val="28"/>
          <w:szCs w:val="28"/>
        </w:rPr>
      </w:pPr>
    </w:p>
    <w:p w:rsidR="0012778C" w:rsidRDefault="0012778C" w:rsidP="0012778C">
      <w:pPr>
        <w:pStyle w:val="Default"/>
        <w:rPr>
          <w:rFonts w:ascii="Arial" w:hAnsi="Arial" w:cs="Arial"/>
          <w:iCs/>
          <w:sz w:val="28"/>
          <w:szCs w:val="28"/>
          <w:lang w:val="de-DE"/>
        </w:rPr>
      </w:pPr>
      <w:r>
        <w:rPr>
          <w:rFonts w:ascii="Arial" w:hAnsi="Arial" w:cs="Arial"/>
          <w:sz w:val="32"/>
          <w:szCs w:val="32"/>
        </w:rPr>
        <w:t>TABLE OF AUTHORITIES</w:t>
      </w:r>
    </w:p>
    <w:p w:rsidR="0012778C" w:rsidRPr="00FD6BF8" w:rsidRDefault="0012778C" w:rsidP="0012778C">
      <w:pPr>
        <w:pStyle w:val="Default"/>
        <w:rPr>
          <w:rFonts w:ascii="Arial" w:hAnsi="Arial" w:cs="Arial"/>
          <w:i/>
          <w:iCs/>
          <w:sz w:val="28"/>
          <w:szCs w:val="28"/>
        </w:rPr>
      </w:pPr>
      <w:r w:rsidRPr="00FD6BF8">
        <w:rPr>
          <w:rFonts w:ascii="Arial" w:hAnsi="Arial" w:cs="Arial"/>
          <w:i/>
          <w:iCs/>
          <w:sz w:val="28"/>
          <w:szCs w:val="28"/>
          <w:lang w:val="de-DE"/>
        </w:rPr>
        <w:t>Summa Corp. California Ex Rel. Lands Comm</w:t>
      </w:r>
      <w:r w:rsidRPr="00FD6BF8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FD6BF8">
        <w:rPr>
          <w:rFonts w:ascii="Arial" w:hAnsi="Arial" w:cs="Arial"/>
          <w:i/>
          <w:iCs/>
          <w:sz w:val="28"/>
          <w:szCs w:val="28"/>
        </w:rPr>
        <w:t xml:space="preserve">n, </w:t>
      </w:r>
      <w:r w:rsidRPr="00FD6BF8">
        <w:rPr>
          <w:rFonts w:ascii="Arial" w:hAnsi="Arial" w:cs="Arial"/>
          <w:i/>
          <w:sz w:val="28"/>
          <w:szCs w:val="28"/>
        </w:rPr>
        <w:t>466 U.S. 198 (1984) .1</w:t>
      </w:r>
    </w:p>
    <w:p w:rsidR="0012778C" w:rsidRPr="00FD6BF8" w:rsidRDefault="0012778C" w:rsidP="0012778C">
      <w:pPr>
        <w:pStyle w:val="Default"/>
        <w:jc w:val="both"/>
        <w:rPr>
          <w:rFonts w:ascii="Arial" w:eastAsia="Times New Roman" w:hAnsi="Arial" w:cs="Arial"/>
          <w:i/>
          <w:sz w:val="28"/>
          <w:szCs w:val="28"/>
        </w:rPr>
      </w:pPr>
      <w:proofErr w:type="spellStart"/>
      <w:r w:rsidRPr="00FD6BF8">
        <w:rPr>
          <w:rFonts w:ascii="Arial" w:hAnsi="Arial" w:cs="Arial"/>
          <w:i/>
          <w:iCs/>
          <w:sz w:val="28"/>
          <w:szCs w:val="28"/>
        </w:rPr>
        <w:t>Robberts</w:t>
      </w:r>
      <w:proofErr w:type="spellEnd"/>
      <w:r w:rsidRPr="00FD6BF8">
        <w:rPr>
          <w:rFonts w:ascii="Arial" w:hAnsi="Arial" w:cs="Arial"/>
          <w:i/>
          <w:iCs/>
          <w:sz w:val="28"/>
          <w:szCs w:val="28"/>
        </w:rPr>
        <w:t xml:space="preserve"> v. Northville Township</w:t>
      </w:r>
      <w:r w:rsidRPr="00FD6BF8">
        <w:rPr>
          <w:rFonts w:ascii="Arial" w:hAnsi="Arial" w:cs="Arial"/>
          <w:i/>
          <w:sz w:val="28"/>
          <w:szCs w:val="28"/>
        </w:rPr>
        <w:t xml:space="preserve">, 22 Fed. </w:t>
      </w:r>
      <w:proofErr w:type="spellStart"/>
      <w:r w:rsidRPr="00FD6BF8">
        <w:rPr>
          <w:rFonts w:ascii="Arial" w:hAnsi="Arial" w:cs="Arial"/>
          <w:i/>
          <w:sz w:val="28"/>
          <w:szCs w:val="28"/>
        </w:rPr>
        <w:t>Appx</w:t>
      </w:r>
      <w:proofErr w:type="spellEnd"/>
      <w:r w:rsidRPr="00FD6BF8">
        <w:rPr>
          <w:rFonts w:ascii="Arial" w:hAnsi="Arial" w:cs="Arial"/>
          <w:i/>
          <w:sz w:val="28"/>
          <w:szCs w:val="28"/>
        </w:rPr>
        <w:t>. 527 C.A. 6 (</w:t>
      </w:r>
      <w:proofErr w:type="spellStart"/>
      <w:r w:rsidRPr="00FD6BF8">
        <w:rPr>
          <w:rFonts w:ascii="Arial" w:hAnsi="Arial" w:cs="Arial"/>
          <w:i/>
          <w:sz w:val="28"/>
          <w:szCs w:val="28"/>
        </w:rPr>
        <w:t>Mich</w:t>
      </w:r>
      <w:proofErr w:type="spellEnd"/>
      <w:r w:rsidRPr="00FD6BF8">
        <w:rPr>
          <w:rFonts w:ascii="Arial" w:hAnsi="Arial" w:cs="Arial"/>
          <w:i/>
          <w:sz w:val="28"/>
          <w:szCs w:val="28"/>
        </w:rPr>
        <w:t>), 2001 . 1</w:t>
      </w:r>
    </w:p>
    <w:p w:rsidR="0012778C" w:rsidRDefault="0012778C" w:rsidP="0012778C">
      <w:pPr>
        <w:pStyle w:val="Default"/>
        <w:jc w:val="both"/>
        <w:rPr>
          <w:rFonts w:ascii="Arial" w:eastAsia="Times New Roman" w:hAnsi="Arial" w:cs="Arial"/>
          <w:sz w:val="28"/>
          <w:szCs w:val="28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POINTS AND AUTHORITIES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a land patent granted by a nation antedates the claims of the United States, a state of the Union, or a political subunit of a state, then all matters relating to jurisdiction over the patented property relate back to the controlling laws when the patent was made. 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Where a treaty or other defeasance makes patented lands part of the United States, a state of the Union, or a political subunit of a state, the </w:t>
      </w:r>
      <w:r>
        <w:rPr>
          <w:rFonts w:ascii="Arial" w:hAnsi="Arial" w:cs="Arial"/>
          <w:iCs/>
          <w:sz w:val="28"/>
          <w:szCs w:val="28"/>
          <w:shd w:val="clear" w:color="auto" w:fill="FFFF00"/>
        </w:rPr>
        <w:t xml:space="preserve">Supremacy Clause </w:t>
      </w:r>
      <w:r>
        <w:rPr>
          <w:rFonts w:ascii="Arial" w:hAnsi="Arial" w:cs="Arial"/>
          <w:sz w:val="28"/>
          <w:szCs w:val="28"/>
          <w:shd w:val="clear" w:color="auto" w:fill="FFFF00"/>
        </w:rPr>
        <w:t>of the United States Constitution controls; meaning, unless the law granting the land patent recognizes powers later claimed by the United States, a state of the Union, or a political subunit of a state, the United States, a state of the Union, or a political subunit of a state is deprived of the claimed powers.</w:t>
      </w:r>
      <w:r>
        <w:rPr>
          <w:rFonts w:ascii="Arial" w:hAnsi="Arial" w:cs="Arial"/>
          <w:sz w:val="28"/>
          <w:szCs w:val="28"/>
        </w:rPr>
        <w:t xml:space="preserve"> See </w:t>
      </w:r>
      <w:r w:rsidRPr="00FD6BF8">
        <w:rPr>
          <w:rFonts w:ascii="Arial" w:hAnsi="Arial" w:cs="Arial"/>
          <w:i/>
          <w:iCs/>
          <w:sz w:val="28"/>
          <w:szCs w:val="28"/>
          <w:lang w:val="de-DE"/>
        </w:rPr>
        <w:t>Summa Corp. California Ex Rel. Lands Comm</w:t>
      </w:r>
      <w:r w:rsidRPr="00FD6BF8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Pr="00FD6BF8">
        <w:rPr>
          <w:rFonts w:ascii="Arial" w:hAnsi="Arial" w:cs="Arial"/>
          <w:i/>
          <w:iCs/>
          <w:sz w:val="28"/>
          <w:szCs w:val="28"/>
        </w:rPr>
        <w:t xml:space="preserve">n, </w:t>
      </w:r>
      <w:r w:rsidRPr="00FD6BF8">
        <w:rPr>
          <w:rFonts w:ascii="Arial" w:hAnsi="Arial" w:cs="Arial"/>
          <w:i/>
          <w:sz w:val="28"/>
          <w:szCs w:val="28"/>
        </w:rPr>
        <w:t>466 U.S. 198 (1984). Controlling authority recognizing states</w:t>
      </w:r>
      <w:r w:rsidRPr="00FD6BF8">
        <w:rPr>
          <w:rFonts w:ascii="Arial" w:hAnsi="Arial" w:cs="Arial"/>
          <w:i/>
          <w:sz w:val="28"/>
          <w:szCs w:val="28"/>
          <w:lang w:val="fr-FR"/>
        </w:rPr>
        <w:t xml:space="preserve">’ </w:t>
      </w:r>
      <w:r w:rsidRPr="00FD6BF8">
        <w:rPr>
          <w:rFonts w:ascii="Arial" w:hAnsi="Arial" w:cs="Arial"/>
          <w:i/>
          <w:sz w:val="28"/>
          <w:szCs w:val="28"/>
        </w:rPr>
        <w:t>and political subunits of states</w:t>
      </w:r>
      <w:r w:rsidRPr="00FD6BF8">
        <w:rPr>
          <w:rFonts w:ascii="Arial" w:hAnsi="Arial" w:cs="Arial"/>
          <w:i/>
          <w:sz w:val="28"/>
          <w:szCs w:val="28"/>
          <w:lang w:val="fr-FR"/>
        </w:rPr>
        <w:t xml:space="preserve">’ </w:t>
      </w:r>
      <w:r w:rsidRPr="00FD6BF8">
        <w:rPr>
          <w:rFonts w:ascii="Arial" w:hAnsi="Arial" w:cs="Arial"/>
          <w:i/>
          <w:sz w:val="28"/>
          <w:szCs w:val="28"/>
        </w:rPr>
        <w:t xml:space="preserve">power to lay and collect ad valorem taxes expressly addresses land patents granted by the federal government. See </w:t>
      </w:r>
      <w:proofErr w:type="spellStart"/>
      <w:r w:rsidRPr="00FD6BF8">
        <w:rPr>
          <w:rFonts w:ascii="Arial" w:hAnsi="Arial" w:cs="Arial"/>
          <w:i/>
          <w:iCs/>
          <w:sz w:val="28"/>
          <w:szCs w:val="28"/>
        </w:rPr>
        <w:t>Robberts</w:t>
      </w:r>
      <w:proofErr w:type="spellEnd"/>
      <w:r w:rsidRPr="00FD6BF8">
        <w:rPr>
          <w:rFonts w:ascii="Arial" w:hAnsi="Arial" w:cs="Arial"/>
          <w:i/>
          <w:iCs/>
          <w:sz w:val="28"/>
          <w:szCs w:val="28"/>
        </w:rPr>
        <w:t xml:space="preserve"> v. Northville Township</w:t>
      </w:r>
      <w:r w:rsidRPr="00FD6BF8">
        <w:rPr>
          <w:rFonts w:ascii="Arial" w:hAnsi="Arial" w:cs="Arial"/>
          <w:i/>
          <w:sz w:val="28"/>
          <w:szCs w:val="28"/>
        </w:rPr>
        <w:t xml:space="preserve">, 22 Fed. </w:t>
      </w:r>
      <w:proofErr w:type="spellStart"/>
      <w:r w:rsidRPr="00FD6BF8">
        <w:rPr>
          <w:rFonts w:ascii="Arial" w:hAnsi="Arial" w:cs="Arial"/>
          <w:i/>
          <w:sz w:val="28"/>
          <w:szCs w:val="28"/>
        </w:rPr>
        <w:t>Appx</w:t>
      </w:r>
      <w:proofErr w:type="spellEnd"/>
      <w:r w:rsidRPr="00FD6BF8">
        <w:rPr>
          <w:rFonts w:ascii="Arial" w:hAnsi="Arial" w:cs="Arial"/>
          <w:i/>
          <w:sz w:val="28"/>
          <w:szCs w:val="28"/>
        </w:rPr>
        <w:t>. 527 C.A. 6 (</w:t>
      </w:r>
      <w:proofErr w:type="spellStart"/>
      <w:r w:rsidRPr="00FD6BF8">
        <w:rPr>
          <w:rFonts w:ascii="Arial" w:hAnsi="Arial" w:cs="Arial"/>
          <w:i/>
          <w:sz w:val="28"/>
          <w:szCs w:val="28"/>
        </w:rPr>
        <w:t>Mich</w:t>
      </w:r>
      <w:proofErr w:type="spellEnd"/>
      <w:r w:rsidRPr="00FD6BF8">
        <w:rPr>
          <w:rFonts w:ascii="Arial" w:hAnsi="Arial" w:cs="Arial"/>
          <w:i/>
          <w:sz w:val="28"/>
          <w:szCs w:val="28"/>
        </w:rPr>
        <w:t>), 2001.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NATURE OF THE ACTION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Zavala County Appraisal District brought suit in Zavala County alleging unpaid ad valorem taxes owed by </w:t>
      </w:r>
      <w:proofErr w:type="spellStart"/>
      <w:r>
        <w:rPr>
          <w:rFonts w:ascii="Arial" w:hAnsi="Arial" w:cs="Arial"/>
          <w:sz w:val="28"/>
          <w:szCs w:val="28"/>
        </w:rPr>
        <w:t>Miburn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Vernor</w:t>
      </w:r>
      <w:proofErr w:type="spellEnd"/>
      <w:r>
        <w:rPr>
          <w:rFonts w:ascii="Arial" w:hAnsi="Arial" w:cs="Arial"/>
          <w:sz w:val="28"/>
          <w:szCs w:val="28"/>
        </w:rPr>
        <w:t xml:space="preserve">, et al. Notwithstanding the facts that Zavala County Appraisal District: 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(1). Never entered any evidence on the record in the form of a verified claim, and 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(2). Never established the court</w:t>
      </w:r>
      <w:r>
        <w:rPr>
          <w:rFonts w:ascii="Arial" w:hAnsi="Arial" w:cs="Arial"/>
          <w:sz w:val="28"/>
          <w:szCs w:val="28"/>
          <w:lang w:val="fr-FR"/>
        </w:rPr>
        <w:t>’</w:t>
      </w:r>
      <w:r>
        <w:rPr>
          <w:rFonts w:ascii="Arial" w:hAnsi="Arial" w:cs="Arial"/>
          <w:sz w:val="28"/>
          <w:szCs w:val="28"/>
        </w:rPr>
        <w:t>s authority to compel an involuntary exaction from lands protected by a patent which antedated the claims of Zavala County Appraisal District, the court granted a so-called summary judgment in favor of Zavala County Appraisal District.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00"/>
          <w:lang w:val="sv-SE"/>
        </w:rPr>
      </w:pPr>
      <w:r>
        <w:rPr>
          <w:rFonts w:ascii="Arial" w:hAnsi="Arial" w:cs="Arial"/>
          <w:sz w:val="32"/>
          <w:szCs w:val="32"/>
        </w:rPr>
        <w:t>ARGUMENT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sv-SE"/>
        </w:rPr>
        <w:t>Appellants</w:t>
      </w:r>
      <w:r>
        <w:rPr>
          <w:rFonts w:ascii="Arial" w:hAnsi="Arial" w:cs="Arial"/>
          <w:sz w:val="28"/>
          <w:szCs w:val="28"/>
          <w:shd w:val="clear" w:color="auto" w:fill="FFFF00"/>
          <w:lang w:val="fr-FR"/>
        </w:rPr>
        <w:t xml:space="preserve">’ </w:t>
      </w:r>
      <w:r>
        <w:rPr>
          <w:rFonts w:ascii="Arial" w:hAnsi="Arial" w:cs="Arial"/>
          <w:sz w:val="28"/>
          <w:szCs w:val="28"/>
          <w:shd w:val="clear" w:color="auto" w:fill="FFFF00"/>
        </w:rPr>
        <w:t>point: The court below wanted subject matter jurisdiction to compel an involuntary exaction of ad valorem taxes from lands protected by a land patent which antedated the claims of the party seeking the exaction. The appellants have well documented a challenge to the court</w:t>
      </w:r>
      <w:r>
        <w:rPr>
          <w:rFonts w:ascii="Arial" w:hAnsi="Arial" w:cs="Arial"/>
          <w:sz w:val="28"/>
          <w:szCs w:val="28"/>
          <w:shd w:val="clear" w:color="auto" w:fill="FFFF00"/>
          <w:lang w:val="fr-FR"/>
        </w:rPr>
        <w:t>’</w:t>
      </w:r>
      <w:r>
        <w:rPr>
          <w:rFonts w:ascii="Arial" w:hAnsi="Arial" w:cs="Arial"/>
          <w:sz w:val="28"/>
          <w:szCs w:val="28"/>
          <w:shd w:val="clear" w:color="auto" w:fill="FFFF00"/>
        </w:rPr>
        <w:t>s authority to compel the exaction. Zavala County Appraisal District, required to inform the court wherein the court had the alleged power,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  <w:shd w:val="clear" w:color="auto" w:fill="FFFF00"/>
        </w:rPr>
      </w:pPr>
      <w:r>
        <w:rPr>
          <w:rFonts w:ascii="Arial" w:hAnsi="Arial" w:cs="Arial"/>
          <w:sz w:val="28"/>
          <w:szCs w:val="28"/>
          <w:shd w:val="clear" w:color="auto" w:fill="FFFF00"/>
        </w:rPr>
        <w:t xml:space="preserve"> breached mandatory duty to make a record verifying that Texas district courts are empowered to compel involuntary exactions of ad valorem taxes from lands protected under land patents not involving grants by the federal government.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  <w:shd w:val="clear" w:color="auto" w:fill="FFFF00"/>
        </w:rPr>
      </w:pPr>
      <w:r>
        <w:rPr>
          <w:rFonts w:ascii="Arial" w:hAnsi="Arial" w:cs="Arial"/>
          <w:sz w:val="32"/>
          <w:szCs w:val="32"/>
        </w:rPr>
        <w:t>CONCLUSION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00"/>
        </w:rPr>
        <w:t>The rule of law requires vacating the lower court</w:t>
      </w:r>
      <w:r>
        <w:rPr>
          <w:rFonts w:ascii="Arial" w:hAnsi="Arial" w:cs="Arial"/>
          <w:sz w:val="28"/>
          <w:szCs w:val="28"/>
          <w:shd w:val="clear" w:color="auto" w:fill="FFFF00"/>
          <w:lang w:val="fr-FR"/>
        </w:rPr>
        <w:t>’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s summary judgment and remanding with instruction to afford </w:t>
      </w:r>
      <w:proofErr w:type="spellStart"/>
      <w:r>
        <w:rPr>
          <w:rFonts w:ascii="Arial" w:hAnsi="Arial" w:cs="Arial"/>
          <w:sz w:val="28"/>
          <w:szCs w:val="28"/>
          <w:shd w:val="clear" w:color="auto" w:fill="FFFF00"/>
        </w:rPr>
        <w:t>Melburn</w:t>
      </w:r>
      <w:proofErr w:type="spellEnd"/>
      <w:r>
        <w:rPr>
          <w:rFonts w:ascii="Arial" w:hAnsi="Arial" w:cs="Arial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00"/>
        </w:rPr>
        <w:t>Vernor</w:t>
      </w:r>
      <w:proofErr w:type="spellEnd"/>
      <w:r>
        <w:rPr>
          <w:rFonts w:ascii="Arial" w:hAnsi="Arial" w:cs="Arial"/>
          <w:sz w:val="28"/>
          <w:szCs w:val="28"/>
          <w:shd w:val="clear" w:color="auto" w:fill="FFFF00"/>
        </w:rPr>
        <w:t xml:space="preserve">, et al all necessary reparation including admonishing Zavala County Appraisal District to leave </w:t>
      </w:r>
      <w:proofErr w:type="spellStart"/>
      <w:r>
        <w:rPr>
          <w:rFonts w:ascii="Arial" w:hAnsi="Arial" w:cs="Arial"/>
          <w:sz w:val="28"/>
          <w:szCs w:val="28"/>
          <w:shd w:val="clear" w:color="auto" w:fill="FFFF00"/>
        </w:rPr>
        <w:t>Melburn</w:t>
      </w:r>
      <w:proofErr w:type="spellEnd"/>
      <w:r>
        <w:rPr>
          <w:rFonts w:ascii="Arial" w:hAnsi="Arial" w:cs="Arial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00"/>
        </w:rPr>
        <w:t>Vernor</w:t>
      </w:r>
      <w:proofErr w:type="spellEnd"/>
      <w:r>
        <w:rPr>
          <w:rFonts w:ascii="Arial" w:hAnsi="Arial" w:cs="Arial"/>
          <w:sz w:val="28"/>
          <w:szCs w:val="28"/>
          <w:shd w:val="clear" w:color="auto" w:fill="FFFF00"/>
        </w:rPr>
        <w:t>, et al alone forever.</w:t>
      </w: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Default"/>
        <w:rPr>
          <w:rFonts w:ascii="Arial" w:hAnsi="Arial" w:cs="Arial"/>
          <w:sz w:val="28"/>
          <w:szCs w:val="28"/>
        </w:rPr>
      </w:pPr>
    </w:p>
    <w:p w:rsidR="0012778C" w:rsidRDefault="0012778C" w:rsidP="0012778C">
      <w:pPr>
        <w:pStyle w:val="NoSpacing"/>
        <w:spacing w:after="2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COVENANT RUNNING WITH THE LAND: </w:t>
      </w:r>
    </w:p>
    <w:p w:rsidR="0012778C" w:rsidRDefault="0012778C" w:rsidP="0012778C">
      <w:pPr>
        <w:pStyle w:val="NoSpacing"/>
        <w:numPr>
          <w:ilvl w:val="0"/>
          <w:numId w:val="1"/>
        </w:numPr>
        <w:spacing w:after="240"/>
        <w:rPr>
          <w:sz w:val="28"/>
          <w:szCs w:val="28"/>
          <w:shd w:val="clear" w:color="auto" w:fill="FFFF00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shd w:val="clear" w:color="auto" w:fill="FFFF00"/>
        </w:rPr>
        <w:t>“</w:t>
      </w:r>
      <w:r>
        <w:rPr>
          <w:iCs/>
          <w:sz w:val="28"/>
          <w:szCs w:val="28"/>
          <w:shd w:val="clear" w:color="auto" w:fill="FFFF00"/>
        </w:rPr>
        <w:t>C</w:t>
      </w:r>
      <w:r>
        <w:rPr>
          <w:sz w:val="28"/>
          <w:szCs w:val="28"/>
          <w:shd w:val="clear" w:color="auto" w:fill="FFFF00"/>
        </w:rPr>
        <w:t>ovenant that because it relates to the land, the land cannot be transferred without the covenant”.</w:t>
      </w:r>
      <w:r>
        <w:rPr>
          <w:i/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Blacks</w:t>
      </w:r>
      <w:r>
        <w:rPr>
          <w:i/>
          <w:sz w:val="28"/>
          <w:szCs w:val="28"/>
        </w:rPr>
        <w:t xml:space="preserve"> Law 7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ed. Page 300.</w:t>
      </w:r>
    </w:p>
    <w:p w:rsidR="0012778C" w:rsidRDefault="0012778C" w:rsidP="0012778C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>
        <w:rPr>
          <w:sz w:val="28"/>
          <w:szCs w:val="28"/>
          <w:shd w:val="clear" w:color="auto" w:fill="FFFF00"/>
        </w:rPr>
        <w:t xml:space="preserve">“A covenant which runs with the land is a promise by the grantor of land to be active or passive in the use of related land for the benefit of the granted land, or a promise by the grantee of land to be active or passive in its use for the benefit of related land of the grantor, which promise must be signed by the </w:t>
      </w:r>
      <w:proofErr w:type="spellStart"/>
      <w:r>
        <w:rPr>
          <w:sz w:val="28"/>
          <w:szCs w:val="28"/>
          <w:shd w:val="clear" w:color="auto" w:fill="FFFF00"/>
        </w:rPr>
        <w:t>promisor</w:t>
      </w:r>
      <w:proofErr w:type="spellEnd"/>
      <w:r>
        <w:rPr>
          <w:sz w:val="28"/>
          <w:szCs w:val="28"/>
          <w:shd w:val="clear" w:color="auto" w:fill="FFFF00"/>
        </w:rPr>
        <w:t xml:space="preserve"> in the deed or as a separate instrument under seal at about the same time,; and of which promise the effect is to bind the </w:t>
      </w:r>
      <w:proofErr w:type="spellStart"/>
      <w:r>
        <w:rPr>
          <w:sz w:val="28"/>
          <w:szCs w:val="28"/>
          <w:shd w:val="clear" w:color="auto" w:fill="FFFF00"/>
        </w:rPr>
        <w:t>promisor</w:t>
      </w:r>
      <w:proofErr w:type="spellEnd"/>
      <w:r>
        <w:rPr>
          <w:sz w:val="28"/>
          <w:szCs w:val="28"/>
          <w:shd w:val="clear" w:color="auto" w:fill="FFFF00"/>
        </w:rPr>
        <w:t xml:space="preserve"> and his lawful successors to the burdened land for the benefit of the </w:t>
      </w:r>
      <w:proofErr w:type="spellStart"/>
      <w:r>
        <w:rPr>
          <w:sz w:val="28"/>
          <w:szCs w:val="28"/>
          <w:shd w:val="clear" w:color="auto" w:fill="FFFF00"/>
        </w:rPr>
        <w:t>promisee</w:t>
      </w:r>
      <w:proofErr w:type="spellEnd"/>
      <w:r>
        <w:rPr>
          <w:sz w:val="28"/>
          <w:szCs w:val="28"/>
          <w:shd w:val="clear" w:color="auto" w:fill="FFFF00"/>
        </w:rPr>
        <w:t xml:space="preserve"> and his lawful successors to the benefited land, and to give each the power to enforce his right in his own name.”</w:t>
      </w:r>
      <w:r>
        <w:rPr>
          <w:sz w:val="28"/>
          <w:szCs w:val="28"/>
        </w:rPr>
        <w:t xml:space="preserve">  Henry Upson Sims, Covenants Which Run with Land; Other than Covenants for Title 17-19 (1901).    Blacks Law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ed. Page</w:t>
      </w:r>
    </w:p>
    <w:p w:rsidR="0012778C" w:rsidRPr="00FD6BF8" w:rsidRDefault="0012778C" w:rsidP="0012778C">
      <w:pPr>
        <w:pStyle w:val="NoSpacing"/>
        <w:numPr>
          <w:ilvl w:val="0"/>
          <w:numId w:val="1"/>
        </w:numPr>
        <w:rPr>
          <w:iCs/>
          <w:sz w:val="28"/>
          <w:szCs w:val="28"/>
        </w:rPr>
      </w:pPr>
    </w:p>
    <w:p w:rsidR="0012778C" w:rsidRDefault="0012778C" w:rsidP="0012778C">
      <w:pPr>
        <w:ind w:left="0" w:firstLine="0"/>
      </w:pPr>
    </w:p>
    <w:sectPr w:rsidR="0012778C" w:rsidSect="004F64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98B7"/>
      </v:shape>
    </w:pict>
  </w:numPicBullet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8FB3A9D"/>
    <w:multiLevelType w:val="hybridMultilevel"/>
    <w:tmpl w:val="B4161D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778C"/>
    <w:rsid w:val="0012778C"/>
    <w:rsid w:val="002535E2"/>
    <w:rsid w:val="003B7723"/>
    <w:rsid w:val="0045749A"/>
    <w:rsid w:val="004F648E"/>
    <w:rsid w:val="005D29C2"/>
    <w:rsid w:val="006F5871"/>
    <w:rsid w:val="007D6D97"/>
    <w:rsid w:val="0083263E"/>
    <w:rsid w:val="009F2181"/>
    <w:rsid w:val="00A34770"/>
    <w:rsid w:val="00B471E8"/>
    <w:rsid w:val="00D5255F"/>
    <w:rsid w:val="00DD507C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double" w:color="C00000"/>
        <w:lang w:val="en-US" w:eastAsia="en-US" w:bidi="ar-SA"/>
      </w:rPr>
    </w:rPrDefault>
    <w:pPrDefault>
      <w:pPr>
        <w:spacing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78C"/>
    <w:pPr>
      <w:suppressAutoHyphens/>
      <w:spacing w:line="240" w:lineRule="auto"/>
      <w:ind w:left="0" w:firstLine="0"/>
    </w:pPr>
    <w:rPr>
      <w:rFonts w:ascii="Helvetica" w:eastAsia="Arial Unicode MS" w:hAnsi="Helvetica" w:cs="Arial Unicode MS"/>
      <w:color w:val="000000"/>
      <w:kern w:val="1"/>
      <w:sz w:val="22"/>
      <w:szCs w:val="22"/>
      <w:u w:val="none"/>
    </w:rPr>
  </w:style>
  <w:style w:type="paragraph" w:styleId="NoSpacing">
    <w:name w:val="No Spacing"/>
    <w:qFormat/>
    <w:rsid w:val="0012778C"/>
    <w:pPr>
      <w:suppressAutoHyphens/>
      <w:spacing w:line="240" w:lineRule="auto"/>
      <w:ind w:left="0" w:firstLine="0"/>
    </w:pPr>
    <w:rPr>
      <w:rFonts w:eastAsia="Arial Unicode MS"/>
      <w:kern w:val="1"/>
      <w:u w:val="none"/>
    </w:rPr>
  </w:style>
  <w:style w:type="paragraph" w:styleId="ListParagraph">
    <w:name w:val="List Paragraph"/>
    <w:basedOn w:val="Normal"/>
    <w:qFormat/>
    <w:rsid w:val="0012778C"/>
    <w:pPr>
      <w:suppressAutoHyphens/>
      <w:spacing w:line="240" w:lineRule="auto"/>
      <w:ind w:left="720" w:firstLine="0"/>
      <w:contextualSpacing/>
    </w:pPr>
    <w:rPr>
      <w:rFonts w:eastAsia="Arial Unicode MS"/>
      <w:kern w:val="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</cp:revision>
  <dcterms:created xsi:type="dcterms:W3CDTF">2015-11-12T03:50:00Z</dcterms:created>
  <dcterms:modified xsi:type="dcterms:W3CDTF">2015-11-12T03:53:00Z</dcterms:modified>
</cp:coreProperties>
</file>