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D4" w:rsidRDefault="00FC5FD4" w:rsidP="000D1DDE">
      <w:pPr>
        <w:ind w:left="0" w:firstLine="0"/>
      </w:pP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31 U.S. 302</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6 Pet. 302</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8 </w:t>
      </w:r>
      <w:proofErr w:type="spellStart"/>
      <w:r w:rsidRPr="000D1DDE">
        <w:rPr>
          <w:rFonts w:eastAsia="Times New Roman"/>
          <w:u w:val="none"/>
        </w:rPr>
        <w:t>L.Ed</w:t>
      </w:r>
      <w:proofErr w:type="spellEnd"/>
      <w:r w:rsidRPr="000D1DDE">
        <w:rPr>
          <w:rFonts w:eastAsia="Times New Roman"/>
          <w:u w:val="none"/>
        </w:rPr>
        <w:t>. 406</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JAMES GREENLEAF'S LESSEE, PLAINTIFF IN ERROR</w:t>
      </w:r>
      <w:r w:rsidRPr="000D1DDE">
        <w:rPr>
          <w:rFonts w:eastAsia="Times New Roman"/>
          <w:u w:val="none"/>
        </w:rPr>
        <w:br/>
        <w:t>v.</w:t>
      </w:r>
      <w:r w:rsidRPr="000D1DDE">
        <w:rPr>
          <w:rFonts w:eastAsia="Times New Roman"/>
          <w:u w:val="none"/>
        </w:rPr>
        <w:br/>
        <w:t>JAMES BIRTH, DEFENDANT IN ERROR.</w:t>
      </w:r>
    </w:p>
    <w:p w:rsid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January Term, 1832</w:t>
      </w:r>
    </w:p>
    <w:p w:rsidR="000D1DDE" w:rsidRPr="000D1DDE" w:rsidRDefault="005E4B2B" w:rsidP="000D1DDE">
      <w:pPr>
        <w:spacing w:before="100" w:beforeAutospacing="1" w:after="100" w:afterAutospacing="1" w:line="240" w:lineRule="auto"/>
        <w:ind w:left="0" w:firstLine="0"/>
        <w:rPr>
          <w:rFonts w:eastAsia="Times New Roman"/>
          <w:u w:val="none"/>
        </w:rPr>
      </w:pPr>
      <w:hyperlink r:id="rId6" w:history="1">
        <w:r w:rsidR="000D1DDE" w:rsidRPr="000D1DDE">
          <w:rPr>
            <w:rStyle w:val="Hyperlink"/>
            <w:rFonts w:eastAsia="Times New Roman"/>
          </w:rPr>
          <w:t>https://law.resource.org/pub/us/case/reporter/US/31/31.US.302.html</w:t>
        </w:r>
      </w:hyperlink>
      <w:r w:rsidR="000D1DDE">
        <w:rPr>
          <w:rFonts w:eastAsia="Times New Roman"/>
          <w:u w:val="none"/>
        </w:rPr>
        <w:t xml:space="preserve"> </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ERROR to the circuit court of the county of Alexandria, in the district of Columbia.</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This was an </w:t>
      </w:r>
      <w:proofErr w:type="spellStart"/>
      <w:r w:rsidRPr="000D1DDE">
        <w:rPr>
          <w:rFonts w:eastAsia="Times New Roman"/>
          <w:u w:val="none"/>
        </w:rPr>
        <w:t>ejectment</w:t>
      </w:r>
      <w:proofErr w:type="spellEnd"/>
      <w:r w:rsidRPr="000D1DDE">
        <w:rPr>
          <w:rFonts w:eastAsia="Times New Roman"/>
          <w:u w:val="none"/>
        </w:rPr>
        <w:t xml:space="preserve"> instituted in May 1818, by the plaintiff in error, in the circuit court of the county of Washington, for the recovery of a lot of ground in the city of Washington, number 17, square 75. The case was subsequently removed to the county of Alexandria, where the same was tried, and a verdict and judgment rendered for the defendant. The plaintiff prosecuted this writ of error.</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The plaintiff in error, James Greenleaf, held in fee simple, under a patent from the state of Maryland to William </w:t>
      </w:r>
      <w:proofErr w:type="spellStart"/>
      <w:r w:rsidRPr="000D1DDE">
        <w:rPr>
          <w:rFonts w:eastAsia="Times New Roman"/>
          <w:u w:val="none"/>
        </w:rPr>
        <w:t>Langworth</w:t>
      </w:r>
      <w:proofErr w:type="spellEnd"/>
      <w:r w:rsidRPr="000D1DDE">
        <w:rPr>
          <w:rFonts w:eastAsia="Times New Roman"/>
          <w:u w:val="none"/>
        </w:rPr>
        <w:t xml:space="preserve">, and a deed from Uriah Forrest and Benjamin Stoddert, a large number of lots and squares of ground in the city of Washington. Afterwards, on the 13th of May 1796, he conveyed by deed of indenture to Robert Morris and John Nicholson, in fee simple, certain of the said lots, which are particularly described in the said instrument. The indenture purports to convey the said lots, 'except as is hereinafter excepted;' and the exception, in a subsequent part of the same, is in the following words: 'excepting, nevertheless, out of the lots, squares, lands and tenements above mentioned, all that square marked and distinguished in the plot of the city of Washington by the number 506, and that other square lying next to and south of the </w:t>
      </w:r>
      <w:proofErr w:type="spellStart"/>
      <w:r w:rsidRPr="000D1DDE">
        <w:rPr>
          <w:rFonts w:eastAsia="Times New Roman"/>
          <w:u w:val="none"/>
        </w:rPr>
        <w:t>said</w:t>
      </w:r>
      <w:proofErr w:type="spellEnd"/>
      <w:r w:rsidRPr="000D1DDE">
        <w:rPr>
          <w:rFonts w:eastAsia="Times New Roman"/>
          <w:u w:val="none"/>
        </w:rPr>
        <w:t xml:space="preserve"> number 506, and all that other square lying next to and south of the square last aforesaid, the said three squares containing in the whole about the quantity of one hundred and sixty-nine thousand and seventy-six and three quarters square feet, be the same more or less; which it is agreed by all the parties to these presents shall be and remain the sole and separate property of the said James Greenleaf, his heirs and assigns; and excepting also all such squares, lots, lands or tenements, as were either conveyed or sold, or agreed to be conveyed, either by all or either them, the said James Greenleaf, Robert Morris and John Nicholson, or any of their agents and attorneys, to any person or persons whatsoever, at any time prior to the 10th day of July 1795.'</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This deed was recorded in the city of Washington according to the provisions of the laws of Maryland.</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James Greenleaf having, on the 10th of March 1798, applied to the supreme court of the state of Pennsylvania, for the benefit of the insolvent laws of that state, was discharged as an insolvent debtor by that court, on the 31st day of March 1798.</w:t>
      </w:r>
    </w:p>
    <w:p w:rsid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At the time of this discharge, he executed a conveyance of all his estate, real, personal and mixed, to Robert Smith, Mordecai Lewis and James Yard, their heirs and assigns, for the benefit of his creditors, agreeably to the provisions of the insolvent laws of the state of Pennsylvania.</w:t>
      </w:r>
    </w:p>
    <w:p w:rsidR="001B7A59" w:rsidRDefault="001B7A59" w:rsidP="000D1DDE">
      <w:pPr>
        <w:spacing w:before="100" w:beforeAutospacing="1" w:after="100" w:afterAutospacing="1" w:line="240" w:lineRule="auto"/>
        <w:ind w:left="0" w:firstLine="0"/>
        <w:rPr>
          <w:rFonts w:eastAsia="Times New Roman"/>
          <w:u w:val="none"/>
        </w:rPr>
      </w:pPr>
    </w:p>
    <w:p w:rsidR="001B7A59" w:rsidRDefault="001B7A59" w:rsidP="000D1DDE">
      <w:pPr>
        <w:spacing w:before="100" w:beforeAutospacing="1" w:after="100" w:afterAutospacing="1" w:line="240" w:lineRule="auto"/>
        <w:ind w:left="0" w:firstLine="0"/>
        <w:rPr>
          <w:rFonts w:eastAsia="Times New Roman"/>
          <w:u w:val="none"/>
        </w:rPr>
      </w:pPr>
    </w:p>
    <w:p w:rsidR="001B7A59" w:rsidRPr="000D1DDE" w:rsidRDefault="001B7A59" w:rsidP="000D1DDE">
      <w:pPr>
        <w:spacing w:before="100" w:beforeAutospacing="1" w:after="100" w:afterAutospacing="1" w:line="240" w:lineRule="auto"/>
        <w:ind w:left="0" w:firstLine="0"/>
        <w:rPr>
          <w:rFonts w:eastAsia="Times New Roman"/>
          <w:u w:val="none"/>
        </w:rPr>
      </w:pP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Subsequently, in March 1800, on the application of the creditors of </w:t>
      </w:r>
      <w:proofErr w:type="spellStart"/>
      <w:r w:rsidRPr="000D1DDE">
        <w:rPr>
          <w:rFonts w:eastAsia="Times New Roman"/>
          <w:u w:val="none"/>
        </w:rPr>
        <w:t>Mr</w:t>
      </w:r>
      <w:proofErr w:type="spellEnd"/>
      <w:r w:rsidRPr="000D1DDE">
        <w:rPr>
          <w:rFonts w:eastAsia="Times New Roman"/>
          <w:u w:val="none"/>
        </w:rPr>
        <w:t xml:space="preserve"> Greenleaf, Thomas M. Willing and Joseph S. Lewis were substituted as the assignees of the insolvent; and, they also refusing to act, the court, on the 12th day of March 1804, appointed John Miller, Junior, sole assignee of the estate and effects of </w:t>
      </w:r>
      <w:proofErr w:type="spellStart"/>
      <w:r w:rsidRPr="000D1DDE">
        <w:rPr>
          <w:rFonts w:eastAsia="Times New Roman"/>
          <w:u w:val="none"/>
        </w:rPr>
        <w:t>Mr</w:t>
      </w:r>
      <w:proofErr w:type="spellEnd"/>
      <w:r w:rsidRPr="000D1DDE">
        <w:rPr>
          <w:rFonts w:eastAsia="Times New Roman"/>
          <w:u w:val="none"/>
        </w:rPr>
        <w:t xml:space="preserve"> Greenleaf; and Robert Smith and James Yard, who survived Mordecai Lewis, on the 16th March 1804, conveyed to John Miller, Junior, all the estate and effects of the insolvent, which had been vested in them by the deed executed by him at the time of his discharge.</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On the 9th of February 1799, James Greenleaf applied by petition to the chancellor of the state of Maryland for the benefit of the insolvent law of that state, passed in 1798; and he was discharged on the 30th of August in the same year. As a part of the proceedings in the case, the petitioner executed a deed conveying to a trustee named by the chancellor, all his property, real and personal; and all the requirements of the laws of Maryland were complied with.</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Annexed to the schedule of the property of the petitioner for the benefit of the insolvent laws of Maryland, is a statement that all the property mentioned therein had been transferred by the petitioner to assignees appointed under the insolvent laws of Pennsylvania.</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On the trial of the cause in the circuit court, the plaintiff tendered two bills of exceptions.</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The first bill of exceptions was as follows:</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On the trial of this suit, to maintain the issue on his part joined on the first count in his declaration, the plaintiff gave in evidence to the jury, a patent from the proprietors of the state of Maryland, to William </w:t>
      </w:r>
      <w:proofErr w:type="spellStart"/>
      <w:r w:rsidRPr="000D1DDE">
        <w:rPr>
          <w:rFonts w:eastAsia="Times New Roman"/>
          <w:u w:val="none"/>
        </w:rPr>
        <w:t>Langworth</w:t>
      </w:r>
      <w:proofErr w:type="spellEnd"/>
      <w:r w:rsidRPr="000D1DDE">
        <w:rPr>
          <w:rFonts w:eastAsia="Times New Roman"/>
          <w:u w:val="none"/>
        </w:rPr>
        <w:t xml:space="preserve">, dated 5th July 1686, in these words (stating the same), and proved that the tenement, wooden </w:t>
      </w:r>
      <w:proofErr w:type="spellStart"/>
      <w:r w:rsidRPr="000D1DDE">
        <w:rPr>
          <w:rFonts w:eastAsia="Times New Roman"/>
          <w:u w:val="none"/>
        </w:rPr>
        <w:t>messuage</w:t>
      </w:r>
      <w:proofErr w:type="spellEnd"/>
      <w:r w:rsidRPr="000D1DDE">
        <w:rPr>
          <w:rFonts w:eastAsia="Times New Roman"/>
          <w:u w:val="none"/>
        </w:rPr>
        <w:t xml:space="preserve">, and improvements in the plaintiff's declaration mentioned, were comprehended within the bounds of the said patent, and the legal title to the said tenement, wooden </w:t>
      </w:r>
      <w:proofErr w:type="spellStart"/>
      <w:r w:rsidRPr="000D1DDE">
        <w:rPr>
          <w:rFonts w:eastAsia="Times New Roman"/>
          <w:u w:val="none"/>
        </w:rPr>
        <w:t>messuage</w:t>
      </w:r>
      <w:proofErr w:type="spellEnd"/>
      <w:r w:rsidRPr="000D1DDE">
        <w:rPr>
          <w:rFonts w:eastAsia="Times New Roman"/>
          <w:u w:val="none"/>
        </w:rPr>
        <w:t xml:space="preserve">, and improvements, was deduced from the said patentee to plaintiff by divers </w:t>
      </w:r>
      <w:proofErr w:type="spellStart"/>
      <w:r w:rsidRPr="000D1DDE">
        <w:rPr>
          <w:rFonts w:eastAsia="Times New Roman"/>
          <w:u w:val="none"/>
        </w:rPr>
        <w:t>mesne</w:t>
      </w:r>
      <w:proofErr w:type="spellEnd"/>
      <w:r w:rsidRPr="000D1DDE">
        <w:rPr>
          <w:rFonts w:eastAsia="Times New Roman"/>
          <w:u w:val="none"/>
        </w:rPr>
        <w:t xml:space="preserve"> conveyances, and by the deed of the 20th September 1794, from Forrest and Stoddert to J. Greenleaf, mentioned in the deed of 13th May 1796; whereupon the defendant, to show a title out of the plaintiff, gave in evidence to the jury, a deed from the said James Greenleaf to Robert Morris and John Nicholson, dated 13th May 1796 (stating the same), admitted to have been executed by the said James Greenleaf, and offered no other evidence. Whereupon the plaintiff's counsel prayed the court to instruct the jury, that the said deed, unaccompanied by any other evidence, did not show such an outstanding title as was sufficient to bar the plaintiffs recovering in this suit; which instruction the court refused to give; to which refusal the plaintiff excepted, and prayed the court to sign and seal this, his bill of exceptions, which is accordingly done this 5th day of December 1829.</w:t>
      </w:r>
    </w:p>
    <w:p w:rsid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The second bill of exceptions stated that: on the trial of this suit, to sustain the issue on his part joined, the plaintiff gave in evidence to the jury, a patent from the proprietor of the state of Maryland (stating the same), and </w:t>
      </w:r>
      <w:r w:rsidRPr="001B7A59">
        <w:rPr>
          <w:rFonts w:eastAsia="Times New Roman"/>
        </w:rPr>
        <w:t>the legal title under the said patent is admitted by the defendant to have been vested in the plaintiff by the said patent</w:t>
      </w:r>
      <w:r w:rsidRPr="000D1DDE">
        <w:rPr>
          <w:rFonts w:eastAsia="Times New Roman"/>
          <w:u w:val="none"/>
        </w:rPr>
        <w:t xml:space="preserve">, and by divers </w:t>
      </w:r>
      <w:proofErr w:type="spellStart"/>
      <w:r w:rsidRPr="000D1DDE">
        <w:rPr>
          <w:rFonts w:eastAsia="Times New Roman"/>
          <w:u w:val="none"/>
        </w:rPr>
        <w:t>mesne</w:t>
      </w:r>
      <w:proofErr w:type="spellEnd"/>
      <w:r w:rsidRPr="000D1DDE">
        <w:rPr>
          <w:rFonts w:eastAsia="Times New Roman"/>
          <w:u w:val="none"/>
        </w:rPr>
        <w:t xml:space="preserve"> conveyances, on the 30th day of August 1799. Whereupon, to prove a title out of the said James Greenleaf, the defendant offered in evidence to the jury, the proceedings in the case of the said James Greenleaf, and insolvent, before the chancellor of Maryland, setting out the said proceedings, and an act of the state of Maryland of 1798, </w:t>
      </w:r>
      <w:proofErr w:type="spellStart"/>
      <w:r w:rsidRPr="000D1DDE">
        <w:rPr>
          <w:rFonts w:eastAsia="Times New Roman"/>
          <w:u w:val="none"/>
        </w:rPr>
        <w:t>ch</w:t>
      </w:r>
      <w:proofErr w:type="spellEnd"/>
      <w:r w:rsidRPr="000D1DDE">
        <w:rPr>
          <w:rFonts w:eastAsia="Times New Roman"/>
          <w:u w:val="none"/>
        </w:rPr>
        <w:t>. 64. To the admission of which proceedings of insolvency, the plaintiff by his counsel excepted, but the court overruled the said exception, and permitted the said proceedings to be read in evidence to the jury; and thereupon, on the prayer of the counsel for the defendant, the court instructed the jury that the said act of assembly, and proceedings in insolvency did show a legal title out of the plaintiff, and did preclude a recovery in this suit on the first count in the plaintiff's declaration.</w:t>
      </w:r>
    </w:p>
    <w:p w:rsidR="001B7A59" w:rsidRDefault="001B7A59" w:rsidP="000D1DDE">
      <w:pPr>
        <w:spacing w:before="100" w:beforeAutospacing="1" w:after="100" w:afterAutospacing="1" w:line="240" w:lineRule="auto"/>
        <w:ind w:left="0" w:firstLine="0"/>
        <w:rPr>
          <w:rFonts w:eastAsia="Times New Roman"/>
          <w:u w:val="none"/>
        </w:rPr>
      </w:pPr>
    </w:p>
    <w:p w:rsidR="001B7A59" w:rsidRPr="000D1DDE" w:rsidRDefault="001B7A59" w:rsidP="000D1DDE">
      <w:pPr>
        <w:spacing w:before="100" w:beforeAutospacing="1" w:after="100" w:afterAutospacing="1" w:line="240" w:lineRule="auto"/>
        <w:ind w:left="0" w:firstLine="0"/>
        <w:rPr>
          <w:rFonts w:eastAsia="Times New Roman"/>
          <w:u w:val="none"/>
        </w:rPr>
      </w:pP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The plaintiff's counsel thereupon gave in evidence to the jury, the proceedings in the case of the insolvency of the said James Greenleaf, in the commonwealth of Pennsylvania, in these words (stating the same), and the conveyances therein mentioned, not recorded in the state of Maryland, and prayed the court to instruct the jury, that under the operation of the said proceedings in Maryland and Pennsylvania, the legal title to the premises in the declaration mentioned, notwithstanding the said conveyances, was not divested from the said James Greenleaf by </w:t>
      </w:r>
      <w:proofErr w:type="spellStart"/>
      <w:r w:rsidRPr="000D1DDE">
        <w:rPr>
          <w:rFonts w:eastAsia="Times New Roman"/>
          <w:u w:val="none"/>
        </w:rPr>
        <w:t>any thing</w:t>
      </w:r>
      <w:proofErr w:type="spellEnd"/>
      <w:r w:rsidRPr="000D1DDE">
        <w:rPr>
          <w:rFonts w:eastAsia="Times New Roman"/>
          <w:u w:val="none"/>
        </w:rPr>
        <w:t xml:space="preserve"> by the defendants so as aforesaid shown; which instruction the court refused to give. To the admission of the proceedings as aforesaid before the chancellor of Maryland, and to the instruction of the court given on the prayer of the defendant, as to the effect thereof, and of the said act of assembly, and to their refusal to instruct the jury as prayed by the plaintiff's counsel, the plaintiff, by his counsel, excepted, and prayed that this, his bill of exceptions, may be sealed and enrolled, which was done accordingly.</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The case was argued by </w:t>
      </w:r>
      <w:proofErr w:type="spellStart"/>
      <w:r w:rsidRPr="000D1DDE">
        <w:rPr>
          <w:rFonts w:eastAsia="Times New Roman"/>
          <w:u w:val="none"/>
        </w:rPr>
        <w:t>Mr</w:t>
      </w:r>
      <w:proofErr w:type="spellEnd"/>
      <w:r w:rsidRPr="000D1DDE">
        <w:rPr>
          <w:rFonts w:eastAsia="Times New Roman"/>
          <w:u w:val="none"/>
        </w:rPr>
        <w:t xml:space="preserve"> </w:t>
      </w:r>
      <w:proofErr w:type="spellStart"/>
      <w:r w:rsidRPr="000D1DDE">
        <w:rPr>
          <w:rFonts w:eastAsia="Times New Roman"/>
          <w:u w:val="none"/>
        </w:rPr>
        <w:t>Coxe</w:t>
      </w:r>
      <w:proofErr w:type="spellEnd"/>
      <w:r w:rsidRPr="000D1DDE">
        <w:rPr>
          <w:rFonts w:eastAsia="Times New Roman"/>
          <w:u w:val="none"/>
        </w:rPr>
        <w:t xml:space="preserve"> and </w:t>
      </w:r>
      <w:proofErr w:type="spellStart"/>
      <w:r w:rsidRPr="000D1DDE">
        <w:rPr>
          <w:rFonts w:eastAsia="Times New Roman"/>
          <w:u w:val="none"/>
        </w:rPr>
        <w:t>Mr</w:t>
      </w:r>
      <w:proofErr w:type="spellEnd"/>
      <w:r w:rsidRPr="000D1DDE">
        <w:rPr>
          <w:rFonts w:eastAsia="Times New Roman"/>
          <w:u w:val="none"/>
        </w:rPr>
        <w:t xml:space="preserve"> Jones, for the plaintiff in error; and by </w:t>
      </w:r>
      <w:proofErr w:type="spellStart"/>
      <w:r w:rsidRPr="000D1DDE">
        <w:rPr>
          <w:rFonts w:eastAsia="Times New Roman"/>
          <w:u w:val="none"/>
        </w:rPr>
        <w:t>Mr</w:t>
      </w:r>
      <w:proofErr w:type="spellEnd"/>
      <w:r w:rsidRPr="000D1DDE">
        <w:rPr>
          <w:rFonts w:eastAsia="Times New Roman"/>
          <w:u w:val="none"/>
        </w:rPr>
        <w:t xml:space="preserve"> Swann and </w:t>
      </w:r>
      <w:proofErr w:type="spellStart"/>
      <w:r w:rsidRPr="000D1DDE">
        <w:rPr>
          <w:rFonts w:eastAsia="Times New Roman"/>
          <w:u w:val="none"/>
        </w:rPr>
        <w:t>Mr</w:t>
      </w:r>
      <w:proofErr w:type="spellEnd"/>
      <w:r w:rsidRPr="000D1DDE">
        <w:rPr>
          <w:rFonts w:eastAsia="Times New Roman"/>
          <w:u w:val="none"/>
        </w:rPr>
        <w:t xml:space="preserve"> Key for the defendant.</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For the plaintiff, it was contended, upon the first bill of exceptions, that a defendant in </w:t>
      </w:r>
      <w:proofErr w:type="spellStart"/>
      <w:r w:rsidRPr="000D1DDE">
        <w:rPr>
          <w:rFonts w:eastAsia="Times New Roman"/>
          <w:u w:val="none"/>
        </w:rPr>
        <w:t>ejectment</w:t>
      </w:r>
      <w:proofErr w:type="spellEnd"/>
      <w:r w:rsidRPr="000D1DDE">
        <w:rPr>
          <w:rFonts w:eastAsia="Times New Roman"/>
          <w:u w:val="none"/>
        </w:rPr>
        <w:t xml:space="preserve"> cannot protect himself under an outstanding title, with which he is in no manner connected. But if such a title could avail the defendant in this case, he was bound to show that it, was a valid and subsisting title, and covered the property in question. It was for him to show that the lot held by him was not within the exception in the deed of the 13th of May 1796, from the plaintiff in error to Morris and Nicholson. Cited 5 Peters, 457. The exception in the deed is not void upon its face. </w:t>
      </w:r>
      <w:r w:rsidRPr="001B7A59">
        <w:rPr>
          <w:rFonts w:eastAsia="Times New Roman"/>
        </w:rPr>
        <w:t>If the exception were void, the whole deed would be void. It is sufficiently certain. If the description is such as to pass an estate, it is sufficient as a reservation. The exception does not apply to the estate, but to a description of the land conveyed by the deed. There is enough in the conveyance, and in the exception, to enable any one to ascertain what was granted, and what was withheld</w:t>
      </w:r>
      <w:r w:rsidRPr="000D1DDE">
        <w:rPr>
          <w:rFonts w:eastAsia="Times New Roman"/>
          <w:u w:val="none"/>
        </w:rPr>
        <w:t>.</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As to the second bill of exceptions, it was said, that it was admitted that the title to the premises in controversy was, in August 1799, in the plaintiff in error. How had that title been divested? By the laws of Maryland all conveyances of land must be recorded in the county where the land is situated:—without being recorded they do not pass any estate. These provisions of the law apply to the proceedings under the insolvent laws of Pennsylvania, and to those before the chancellor of Maryland.</w:t>
      </w:r>
    </w:p>
    <w:p w:rsidR="000D1DDE" w:rsidRPr="001B7A59" w:rsidRDefault="000D1DDE" w:rsidP="000D1DDE">
      <w:pPr>
        <w:spacing w:before="100" w:beforeAutospacing="1" w:after="100" w:afterAutospacing="1" w:line="240" w:lineRule="auto"/>
        <w:ind w:left="0" w:firstLine="0"/>
        <w:rPr>
          <w:rFonts w:eastAsia="Times New Roman"/>
        </w:rPr>
      </w:pPr>
      <w:r w:rsidRPr="001B7A59">
        <w:rPr>
          <w:rFonts w:eastAsia="Times New Roman"/>
        </w:rPr>
        <w:t>The Maryland deed has not been recorded as provided by the act of assembly; which requires that the same shall be enrolled within six months in order to make it operative. The insolvent law in its spirit, if not in its terms, requires enrolment. The deed must be acknowledged. This is the act of the insolvent. The recording is an act to be performed by the assignee; and the act relative to the recording of deeds considers this as an ordinary conveyance. It does not require it to be recorded in the court of chancery. It is not a part of the proceedings in that court. It is not executed under the inspection of the chancellor; he is only to have a certificate of its execution from the assignee.</w:t>
      </w:r>
    </w:p>
    <w:p w:rsid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The premises were not conveyed by the assignment executed under the insolvent laws of Pennsylvania. The description of the property was too general to pass the estate. After that assignment, </w:t>
      </w:r>
      <w:proofErr w:type="spellStart"/>
      <w:r w:rsidRPr="000D1DDE">
        <w:rPr>
          <w:rFonts w:eastAsia="Times New Roman"/>
          <w:u w:val="none"/>
        </w:rPr>
        <w:t>Mr</w:t>
      </w:r>
      <w:proofErr w:type="spellEnd"/>
      <w:r w:rsidRPr="000D1DDE">
        <w:rPr>
          <w:rFonts w:eastAsia="Times New Roman"/>
          <w:u w:val="none"/>
        </w:rPr>
        <w:t xml:space="preserve"> Greenleaf had only a resulting trust in the lots in Washington. If that assignment was not recorded in the county of Washington, as it was not; he had the legal title, subject to a claim of the assignees to a conveyance: and this interest would not pass under the assignment in Maryland. But he still held a mere naked legal estate, subject to the equity of his assignees and creditors.</w:t>
      </w:r>
    </w:p>
    <w:p w:rsidR="001B7A59" w:rsidRDefault="001B7A59" w:rsidP="000D1DDE">
      <w:pPr>
        <w:spacing w:before="100" w:beforeAutospacing="1" w:after="100" w:afterAutospacing="1" w:line="240" w:lineRule="auto"/>
        <w:ind w:left="0" w:firstLine="0"/>
        <w:rPr>
          <w:rFonts w:eastAsia="Times New Roman"/>
          <w:u w:val="none"/>
        </w:rPr>
      </w:pPr>
    </w:p>
    <w:p w:rsidR="001B7A59" w:rsidRDefault="001B7A59" w:rsidP="000D1DDE">
      <w:pPr>
        <w:spacing w:before="100" w:beforeAutospacing="1" w:after="100" w:afterAutospacing="1" w:line="240" w:lineRule="auto"/>
        <w:ind w:left="0" w:firstLine="0"/>
        <w:rPr>
          <w:rFonts w:eastAsia="Times New Roman"/>
          <w:u w:val="none"/>
        </w:rPr>
      </w:pPr>
    </w:p>
    <w:p w:rsidR="001B7A59" w:rsidRPr="000D1DDE" w:rsidRDefault="001B7A59" w:rsidP="000D1DDE">
      <w:pPr>
        <w:spacing w:before="100" w:beforeAutospacing="1" w:after="100" w:afterAutospacing="1" w:line="240" w:lineRule="auto"/>
        <w:ind w:left="0" w:firstLine="0"/>
        <w:rPr>
          <w:rFonts w:eastAsia="Times New Roman"/>
          <w:u w:val="none"/>
        </w:rPr>
      </w:pP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It cannot be set up by the defendant, that the title to the premises is in the assignee in Pennsylvania. That title, if it ever existed, is barred by the statute of limitations.</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But the plaintiff does not set up his title against any of his trustees or assignees. It is only against a mere intruder and stranger.</w:t>
      </w:r>
    </w:p>
    <w:p w:rsidR="000D1DDE" w:rsidRPr="000D1DDE" w:rsidRDefault="000D1DDE" w:rsidP="000D1DDE">
      <w:pPr>
        <w:spacing w:before="100" w:beforeAutospacing="1" w:after="100" w:afterAutospacing="1" w:line="240" w:lineRule="auto"/>
        <w:ind w:left="0" w:firstLine="0"/>
        <w:rPr>
          <w:rFonts w:eastAsia="Times New Roman"/>
          <w:u w:val="none"/>
        </w:rPr>
      </w:pPr>
      <w:proofErr w:type="spellStart"/>
      <w:r w:rsidRPr="000D1DDE">
        <w:rPr>
          <w:rFonts w:eastAsia="Times New Roman"/>
          <w:u w:val="none"/>
        </w:rPr>
        <w:t>Mr</w:t>
      </w:r>
      <w:proofErr w:type="spellEnd"/>
      <w:r w:rsidRPr="000D1DDE">
        <w:rPr>
          <w:rFonts w:eastAsia="Times New Roman"/>
          <w:u w:val="none"/>
        </w:rPr>
        <w:t xml:space="preserve"> Key and </w:t>
      </w:r>
      <w:proofErr w:type="spellStart"/>
      <w:r w:rsidRPr="000D1DDE">
        <w:rPr>
          <w:rFonts w:eastAsia="Times New Roman"/>
          <w:u w:val="none"/>
        </w:rPr>
        <w:t>Mr</w:t>
      </w:r>
      <w:proofErr w:type="spellEnd"/>
      <w:r w:rsidRPr="000D1DDE">
        <w:rPr>
          <w:rFonts w:eastAsia="Times New Roman"/>
          <w:u w:val="none"/>
        </w:rPr>
        <w:t xml:space="preserve"> Swann, contra.</w:t>
      </w:r>
    </w:p>
    <w:p w:rsidR="001B7A59" w:rsidRDefault="000D1DDE" w:rsidP="000D1DDE">
      <w:pPr>
        <w:spacing w:before="100" w:beforeAutospacing="1" w:line="240" w:lineRule="auto"/>
        <w:ind w:left="0" w:firstLine="0"/>
        <w:rPr>
          <w:rFonts w:eastAsia="Times New Roman"/>
          <w:u w:val="none"/>
        </w:rPr>
      </w:pPr>
      <w:r w:rsidRPr="000D1DDE">
        <w:rPr>
          <w:rFonts w:eastAsia="Times New Roman"/>
          <w:u w:val="none"/>
        </w:rPr>
        <w:t xml:space="preserve">The questions in the case are, </w:t>
      </w:r>
    </w:p>
    <w:p w:rsidR="001B7A59" w:rsidRDefault="000D1DDE" w:rsidP="001B7A59">
      <w:pPr>
        <w:spacing w:line="240" w:lineRule="auto"/>
        <w:ind w:left="720" w:firstLine="0"/>
        <w:rPr>
          <w:rFonts w:eastAsia="Times New Roman"/>
          <w:u w:val="none"/>
        </w:rPr>
      </w:pPr>
      <w:r w:rsidRPr="000D1DDE">
        <w:rPr>
          <w:rFonts w:eastAsia="Times New Roman"/>
          <w:u w:val="none"/>
        </w:rPr>
        <w:t xml:space="preserve">1. Whether the premises in controversy are within the exceptions in the deed to Morris and Nicholson. </w:t>
      </w:r>
    </w:p>
    <w:p w:rsidR="000D1DDE" w:rsidRDefault="000D1DDE" w:rsidP="001B7A59">
      <w:pPr>
        <w:spacing w:line="240" w:lineRule="auto"/>
        <w:ind w:left="720" w:firstLine="0"/>
        <w:rPr>
          <w:rFonts w:eastAsia="Times New Roman"/>
          <w:u w:val="none"/>
        </w:rPr>
      </w:pPr>
      <w:r w:rsidRPr="000D1DDE">
        <w:rPr>
          <w:rFonts w:eastAsia="Times New Roman"/>
          <w:u w:val="none"/>
        </w:rPr>
        <w:t>2. Whether the interest of the plaintiff in error, passed under the Maryland insolvent law.</w:t>
      </w:r>
    </w:p>
    <w:p w:rsidR="001B7A59" w:rsidRPr="000D1DDE" w:rsidRDefault="001B7A59" w:rsidP="000D1DDE">
      <w:pPr>
        <w:spacing w:line="240" w:lineRule="auto"/>
        <w:ind w:left="0" w:firstLine="0"/>
        <w:rPr>
          <w:rFonts w:eastAsia="Times New Roman"/>
          <w:u w:val="none"/>
        </w:rPr>
      </w:pPr>
    </w:p>
    <w:p w:rsidR="000D1DDE" w:rsidRPr="000D1DDE" w:rsidRDefault="000D1DDE" w:rsidP="000D1DDE">
      <w:pPr>
        <w:spacing w:line="240" w:lineRule="auto"/>
        <w:ind w:left="0" w:firstLine="0"/>
        <w:rPr>
          <w:rFonts w:eastAsia="Times New Roman"/>
          <w:u w:val="none"/>
        </w:rPr>
      </w:pPr>
      <w:r w:rsidRPr="000D1DDE">
        <w:rPr>
          <w:rFonts w:eastAsia="Times New Roman"/>
          <w:u w:val="none"/>
        </w:rPr>
        <w:t xml:space="preserve">The decision of the first question turns on the point, who </w:t>
      </w:r>
      <w:r w:rsidRPr="001B7A59">
        <w:rPr>
          <w:rFonts w:eastAsia="Times New Roman"/>
          <w:highlight w:val="yellow"/>
          <w:u w:val="none"/>
        </w:rPr>
        <w:t xml:space="preserve">must prove the lot </w:t>
      </w:r>
      <w:r w:rsidRPr="001B7A59">
        <w:rPr>
          <w:rFonts w:eastAsia="Times New Roman"/>
          <w:highlight w:val="yellow"/>
          <w:u w:val="thick"/>
        </w:rPr>
        <w:t>not in the exception</w:t>
      </w:r>
      <w:r w:rsidRPr="000D1DDE">
        <w:rPr>
          <w:rFonts w:eastAsia="Times New Roman"/>
          <w:u w:val="none"/>
        </w:rPr>
        <w:t xml:space="preserve">. It is admitted that the defendant must show an outstanding title; but he is released from a part of the difficulty in establishing such a title here, as </w:t>
      </w:r>
      <w:r w:rsidRPr="001B7A59">
        <w:rPr>
          <w:rFonts w:eastAsia="Times New Roman"/>
        </w:rPr>
        <w:t>the exception is altogether void from its uncertainty</w:t>
      </w:r>
      <w:r w:rsidRPr="000D1DDE">
        <w:rPr>
          <w:rFonts w:eastAsia="Times New Roman"/>
          <w:u w:val="none"/>
        </w:rPr>
        <w:t>; it is a fraudulent trap, intended to operate secretly on the property conveyed by the deed.</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Upon the law of exceptions, cited </w:t>
      </w:r>
      <w:proofErr w:type="spellStart"/>
      <w:r w:rsidRPr="000D1DDE">
        <w:rPr>
          <w:rFonts w:eastAsia="Times New Roman"/>
          <w:u w:val="none"/>
        </w:rPr>
        <w:t>Shep</w:t>
      </w:r>
      <w:proofErr w:type="spellEnd"/>
      <w:r w:rsidRPr="000D1DDE">
        <w:rPr>
          <w:rFonts w:eastAsia="Times New Roman"/>
          <w:u w:val="none"/>
        </w:rPr>
        <w:t>. Touch. 77; 5 Coke, 12; 4 Com. Dig. tit. Fait, E. 8; 7 Co. Lit. 47, a; 3 Johns. Rep. 370; 8 Johns. Rep. 394; 3 Wheat. 224; Bul. N. P. 110.</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As to the second bill of exceptions, the counsel for the defendant contended, that the refusal of the circuit court to instruct the jury, that the proceedings under the insolvent laws of Pennsylvania and Maryland did not divest the title of </w:t>
      </w:r>
      <w:proofErr w:type="spellStart"/>
      <w:r w:rsidRPr="000D1DDE">
        <w:rPr>
          <w:rFonts w:eastAsia="Times New Roman"/>
          <w:u w:val="none"/>
        </w:rPr>
        <w:t>Mr</w:t>
      </w:r>
      <w:proofErr w:type="spellEnd"/>
      <w:r w:rsidRPr="000D1DDE">
        <w:rPr>
          <w:rFonts w:eastAsia="Times New Roman"/>
          <w:u w:val="none"/>
        </w:rPr>
        <w:t xml:space="preserve"> Greenleaf, was correct.</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By the act of assembly of Maryland of 1798, chapter 64, sections 5, 15, all the proceedings under the law are to be recorded. It is contended by the plaintiff that the title did not pass under the assignment, because the deed to </w:t>
      </w:r>
      <w:proofErr w:type="spellStart"/>
      <w:r w:rsidRPr="000D1DDE">
        <w:rPr>
          <w:rFonts w:eastAsia="Times New Roman"/>
          <w:u w:val="none"/>
        </w:rPr>
        <w:t>Mr</w:t>
      </w:r>
      <w:proofErr w:type="spellEnd"/>
      <w:r w:rsidRPr="000D1DDE">
        <w:rPr>
          <w:rFonts w:eastAsia="Times New Roman"/>
          <w:u w:val="none"/>
        </w:rPr>
        <w:t xml:space="preserve"> </w:t>
      </w:r>
      <w:proofErr w:type="spellStart"/>
      <w:r w:rsidRPr="000D1DDE">
        <w:rPr>
          <w:rFonts w:eastAsia="Times New Roman"/>
          <w:u w:val="none"/>
        </w:rPr>
        <w:t>Cranch</w:t>
      </w:r>
      <w:proofErr w:type="spellEnd"/>
      <w:r w:rsidRPr="000D1DDE">
        <w:rPr>
          <w:rFonts w:eastAsia="Times New Roman"/>
          <w:u w:val="none"/>
        </w:rPr>
        <w:t xml:space="preserve"> was not recorded in the county where the property is situated. But the recording in the court of chancery is all that is necessary. The general act relative to recording of deeds does not apply to such cases. The deed was a part of the chancery proceedings; and the provision in the insolvent law relative to the registering of the proceedings, is, so far as they would be affected by the recording law, a repeal of the same. Cited 2 </w:t>
      </w:r>
      <w:proofErr w:type="spellStart"/>
      <w:r w:rsidRPr="000D1DDE">
        <w:rPr>
          <w:rFonts w:eastAsia="Times New Roman"/>
          <w:u w:val="none"/>
        </w:rPr>
        <w:t>Har</w:t>
      </w:r>
      <w:proofErr w:type="spellEnd"/>
      <w:r w:rsidRPr="000D1DDE">
        <w:rPr>
          <w:rFonts w:eastAsia="Times New Roman"/>
          <w:u w:val="none"/>
        </w:rPr>
        <w:t xml:space="preserve">. and John. 574; 2 </w:t>
      </w:r>
      <w:proofErr w:type="spellStart"/>
      <w:r w:rsidRPr="000D1DDE">
        <w:rPr>
          <w:rFonts w:eastAsia="Times New Roman"/>
          <w:u w:val="none"/>
        </w:rPr>
        <w:t>Har</w:t>
      </w:r>
      <w:proofErr w:type="spellEnd"/>
      <w:r w:rsidRPr="000D1DDE">
        <w:rPr>
          <w:rFonts w:eastAsia="Times New Roman"/>
          <w:u w:val="none"/>
        </w:rPr>
        <w:t xml:space="preserve">. and </w:t>
      </w:r>
      <w:proofErr w:type="spellStart"/>
      <w:r w:rsidRPr="000D1DDE">
        <w:rPr>
          <w:rFonts w:eastAsia="Times New Roman"/>
          <w:u w:val="none"/>
        </w:rPr>
        <w:t>M'Henry</w:t>
      </w:r>
      <w:proofErr w:type="spellEnd"/>
      <w:r w:rsidRPr="000D1DDE">
        <w:rPr>
          <w:rFonts w:eastAsia="Times New Roman"/>
          <w:u w:val="none"/>
        </w:rPr>
        <w:t>, 46.</w:t>
      </w:r>
    </w:p>
    <w:p w:rsidR="000D1DDE" w:rsidRPr="000D1DDE" w:rsidRDefault="000D1DDE"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As to a mere intruder showing title out of the plaintiff, the distinction seems to be this—he cannot show an outstanding title in a third person; but he may show that the plaintiff has himself parted with the title. Cited 3 Wheat. 225, 228; 9 Wheat. 516; 2 </w:t>
      </w:r>
      <w:proofErr w:type="spellStart"/>
      <w:r w:rsidRPr="000D1DDE">
        <w:rPr>
          <w:rFonts w:eastAsia="Times New Roman"/>
          <w:u w:val="none"/>
        </w:rPr>
        <w:t>Har</w:t>
      </w:r>
      <w:proofErr w:type="spellEnd"/>
      <w:r w:rsidRPr="000D1DDE">
        <w:rPr>
          <w:rFonts w:eastAsia="Times New Roman"/>
          <w:u w:val="none"/>
        </w:rPr>
        <w:t>. and John. 112; 5 Burr. 2484; 4 T. R. 682; 6 Mass. Rep. 239.</w:t>
      </w:r>
    </w:p>
    <w:p w:rsidR="000D1DDE" w:rsidRPr="000D1DDE" w:rsidRDefault="000D1DDE" w:rsidP="000D1DDE">
      <w:pPr>
        <w:spacing w:before="100" w:beforeAutospacing="1" w:after="100" w:afterAutospacing="1" w:line="240" w:lineRule="auto"/>
        <w:ind w:left="0" w:firstLine="0"/>
        <w:rPr>
          <w:rFonts w:eastAsia="Times New Roman"/>
          <w:u w:val="none"/>
        </w:rPr>
      </w:pPr>
      <w:proofErr w:type="spellStart"/>
      <w:r w:rsidRPr="000D1DDE">
        <w:rPr>
          <w:rFonts w:eastAsia="Times New Roman"/>
          <w:u w:val="none"/>
        </w:rPr>
        <w:t>Mr</w:t>
      </w:r>
      <w:proofErr w:type="spellEnd"/>
      <w:r w:rsidRPr="000D1DDE">
        <w:rPr>
          <w:rFonts w:eastAsia="Times New Roman"/>
          <w:u w:val="none"/>
        </w:rPr>
        <w:t xml:space="preserve"> Justice STORY delivered the opinion of the Court.</w:t>
      </w:r>
    </w:p>
    <w:p w:rsidR="000D1DDE" w:rsidRDefault="000D1DDE" w:rsidP="001B7A59">
      <w:pPr>
        <w:spacing w:line="240" w:lineRule="auto"/>
        <w:ind w:left="0" w:firstLine="0"/>
        <w:rPr>
          <w:rFonts w:eastAsia="Times New Roman"/>
          <w:u w:val="none"/>
        </w:rPr>
      </w:pPr>
      <w:r w:rsidRPr="000D1DDE">
        <w:rPr>
          <w:rFonts w:eastAsia="Times New Roman"/>
          <w:u w:val="none"/>
        </w:rPr>
        <w:t xml:space="preserve">1 </w:t>
      </w:r>
      <w:r w:rsidR="001B7A59">
        <w:rPr>
          <w:rFonts w:eastAsia="Times New Roman"/>
          <w:u w:val="none"/>
        </w:rPr>
        <w:t xml:space="preserve">. </w:t>
      </w:r>
      <w:r w:rsidRPr="000D1DDE">
        <w:rPr>
          <w:rFonts w:eastAsia="Times New Roman"/>
          <w:u w:val="none"/>
        </w:rPr>
        <w:t xml:space="preserve">This is writ of error to the circuit court of the district of Columbia. The original action was an </w:t>
      </w:r>
      <w:proofErr w:type="spellStart"/>
      <w:r w:rsidRPr="000D1DDE">
        <w:rPr>
          <w:rFonts w:eastAsia="Times New Roman"/>
          <w:u w:val="none"/>
        </w:rPr>
        <w:t>ejectment</w:t>
      </w:r>
      <w:proofErr w:type="spellEnd"/>
      <w:r w:rsidRPr="000D1DDE">
        <w:rPr>
          <w:rFonts w:eastAsia="Times New Roman"/>
          <w:u w:val="none"/>
        </w:rPr>
        <w:t>, brought in May 1818, by the plaintiff in error, against the defendant in error, for a certain lot of ground, number 17, square 75, in the city of Washington, and was founded upon demises. Upon the trial (which was at December term 1829), a verdict was found for the defendant, upon which he had judgment. Two bills of exceptions were taken at the trial on behalf of the plaintiff; and the questions for the consideration of this court grow out of the matter of those exceptions.</w:t>
      </w:r>
    </w:p>
    <w:p w:rsidR="001B7A59" w:rsidRPr="000D1DDE" w:rsidRDefault="001B7A59" w:rsidP="001B7A59">
      <w:pPr>
        <w:spacing w:line="240" w:lineRule="auto"/>
        <w:ind w:left="0" w:firstLine="0"/>
        <w:rPr>
          <w:rFonts w:eastAsia="Times New Roman"/>
          <w:u w:val="none"/>
        </w:rPr>
      </w:pPr>
    </w:p>
    <w:p w:rsidR="001B7A59" w:rsidRDefault="000D1DDE" w:rsidP="001B7A59">
      <w:pPr>
        <w:spacing w:line="240" w:lineRule="auto"/>
        <w:ind w:left="0" w:firstLine="0"/>
        <w:rPr>
          <w:rFonts w:eastAsia="Times New Roman"/>
          <w:u w:val="none"/>
        </w:rPr>
      </w:pPr>
      <w:r w:rsidRPr="000D1DDE">
        <w:rPr>
          <w:rFonts w:eastAsia="Times New Roman"/>
          <w:u w:val="none"/>
        </w:rPr>
        <w:t>2</w:t>
      </w:r>
      <w:r w:rsidR="001B7A59">
        <w:rPr>
          <w:rFonts w:eastAsia="Times New Roman"/>
          <w:u w:val="none"/>
        </w:rPr>
        <w:t xml:space="preserve">. </w:t>
      </w:r>
      <w:r w:rsidRPr="000D1DDE">
        <w:rPr>
          <w:rFonts w:eastAsia="Times New Roman"/>
          <w:u w:val="none"/>
        </w:rPr>
        <w:t xml:space="preserve">The first bill of exceptions states, that at the trial a title to the premises in controversy was deduced from the state of Maryland, by </w:t>
      </w:r>
      <w:proofErr w:type="spellStart"/>
      <w:r w:rsidRPr="000D1DDE">
        <w:rPr>
          <w:rFonts w:eastAsia="Times New Roman"/>
          <w:u w:val="none"/>
        </w:rPr>
        <w:t>mesne</w:t>
      </w:r>
      <w:proofErr w:type="spellEnd"/>
      <w:r w:rsidRPr="000D1DDE">
        <w:rPr>
          <w:rFonts w:eastAsia="Times New Roman"/>
          <w:u w:val="none"/>
        </w:rPr>
        <w:t xml:space="preserve"> conveyances to James Greenleaf, the </w:t>
      </w:r>
      <w:proofErr w:type="spellStart"/>
      <w:r w:rsidRPr="000D1DDE">
        <w:rPr>
          <w:rFonts w:eastAsia="Times New Roman"/>
          <w:u w:val="none"/>
        </w:rPr>
        <w:t>lessor</w:t>
      </w:r>
      <w:proofErr w:type="spellEnd"/>
      <w:r w:rsidRPr="000D1DDE">
        <w:rPr>
          <w:rFonts w:eastAsia="Times New Roman"/>
          <w:u w:val="none"/>
        </w:rPr>
        <w:t xml:space="preserve"> of the plaintiff, in September 1794. Whereupon the defendant, to show a title out of the plaintiff, gave in evidence to the jury a deed from Greenleaf </w:t>
      </w: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to Robert Morris and John Nicholson, dated the 13th of May 1796, the due execution of which was admitted, and offered no other evidence. Whereupon the plaintiff's counsel prayed the court to instruct the jury, that the said deed, unaccompanied by any other evidence, did not show such an outstanding title as was sufficient to bar the plaintiff's recovery in the suit; which instruction the court refused to give; to which refusal the plaintiff's counsel excepted. And the question before this court is, whether this exception is well founded.</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3</w:t>
      </w:r>
      <w:r w:rsidR="001B7A59">
        <w:rPr>
          <w:rFonts w:eastAsia="Times New Roman"/>
          <w:u w:val="none"/>
        </w:rPr>
        <w:t xml:space="preserve">. </w:t>
      </w:r>
      <w:r w:rsidRPr="000D1DDE">
        <w:rPr>
          <w:rFonts w:eastAsia="Times New Roman"/>
          <w:u w:val="none"/>
        </w:rPr>
        <w:t xml:space="preserve">The deed of Greenleaf to Morris and Nicholson purports to grant to them in fee as tenants in common, 'except as is hereinafter excepted, all those hereinafter mentioned and described lots, squares, lands and tenements situate in the city of Washington, in the District of Columbia, wherein the said James Greenleaf, and the said Robert Morris and John Nicholson were jointly interested, in each one equal undivided third part, on the day of the date of the above named articles of agreement' (the 10th of July 1796), &amp;c. &amp;c. It then proceeds to specify three squares and lots contracted for by Greenleaf, with the commissioners of the city of Washington; and three thousand lots contracted for by Greenleaf, as agent of Morris, with the same commissioners; and about two hundred and twenty lots, contracted for by Greenleaf with Daniel Carroll; and about four hundred and twenty-eight and a half lots contracted for by Greenleaf with </w:t>
      </w:r>
      <w:proofErr w:type="spellStart"/>
      <w:r w:rsidRPr="000D1DDE">
        <w:rPr>
          <w:rFonts w:eastAsia="Times New Roman"/>
          <w:u w:val="none"/>
        </w:rPr>
        <w:t>Notley</w:t>
      </w:r>
      <w:proofErr w:type="spellEnd"/>
      <w:r w:rsidRPr="000D1DDE">
        <w:rPr>
          <w:rFonts w:eastAsia="Times New Roman"/>
          <w:u w:val="none"/>
        </w:rPr>
        <w:t xml:space="preserve"> Young: and then proceeds, 'and also all those lots situate in the said city of Washington, supposed to be about two hundred and thirty-nine and one quarter in number, for which the said James Greenleaf contracted with Uriah Forrest and Benjamin Stoddert by an agreement in writing, bearing date, &amp;c. (15th of July 1794). The lot sued for was one of these lots, and was included in a conveyance made by Forrest and Stoddert to Greenleaf on the 24th of September 1794. Several other parcels of lots are then specified; and then comes the following exception: 'excepting, nevertheless, out of the lots, squares, lands, and tenements above mentioned, all that square marked and distinguished in the plan of the said city of Washington by the number 506, and that other square lying next to and south of the </w:t>
      </w:r>
      <w:proofErr w:type="spellStart"/>
      <w:r w:rsidRPr="000D1DDE">
        <w:rPr>
          <w:rFonts w:eastAsia="Times New Roman"/>
          <w:u w:val="none"/>
        </w:rPr>
        <w:t>said</w:t>
      </w:r>
      <w:proofErr w:type="spellEnd"/>
      <w:r w:rsidRPr="000D1DDE">
        <w:rPr>
          <w:rFonts w:eastAsia="Times New Roman"/>
          <w:u w:val="none"/>
        </w:rPr>
        <w:t xml:space="preserve"> number 506, and all that other square lying next to and south of the square last aforesaid, the said square containing, &amp;c. &amp;c., which it is agreed, &amp;c. shall be and remain the sole and separate property of the said James Greenleaf, and his heirs and assigns. And excepting also all such squares, lots, lands, or tenements as were either conveyed or sold, or agreed to be conveyed either by all or either of them, the said James Greenleaf, Robert Morris, or John Nicholson, or any of their agents or attorneys, to any person or persons whatsoever, at any time prior to the said 10th day of July, A. D. 1795.</w:t>
      </w:r>
    </w:p>
    <w:p w:rsidR="001B7A59" w:rsidRPr="000D1DDE" w:rsidRDefault="001B7A59" w:rsidP="001B7A59">
      <w:pPr>
        <w:spacing w:line="240" w:lineRule="auto"/>
        <w:ind w:left="0" w:firstLine="0"/>
        <w:rPr>
          <w:rFonts w:eastAsia="Times New Roman"/>
          <w:u w:val="none"/>
        </w:rPr>
      </w:pPr>
    </w:p>
    <w:p w:rsidR="001B7A59" w:rsidRPr="00003212" w:rsidRDefault="000D1DDE" w:rsidP="001B7A59">
      <w:pPr>
        <w:spacing w:line="240" w:lineRule="auto"/>
        <w:ind w:left="0" w:firstLine="0"/>
        <w:rPr>
          <w:rFonts w:eastAsia="Times New Roman"/>
        </w:rPr>
      </w:pPr>
      <w:r w:rsidRPr="00003212">
        <w:rPr>
          <w:rFonts w:eastAsia="Times New Roman"/>
          <w:b/>
          <w:color w:val="C00000"/>
          <w:u w:val="none"/>
        </w:rPr>
        <w:t>4</w:t>
      </w:r>
      <w:r w:rsidR="001B7A59" w:rsidRPr="00003212">
        <w:rPr>
          <w:rFonts w:eastAsia="Times New Roman"/>
          <w:b/>
          <w:color w:val="C00000"/>
          <w:u w:val="none"/>
        </w:rPr>
        <w:t>.</w:t>
      </w:r>
      <w:r w:rsidR="001B7A59">
        <w:rPr>
          <w:rFonts w:eastAsia="Times New Roman"/>
          <w:u w:val="none"/>
        </w:rPr>
        <w:t xml:space="preserve"> </w:t>
      </w:r>
      <w:r w:rsidRPr="000D1DDE">
        <w:rPr>
          <w:rFonts w:eastAsia="Times New Roman"/>
          <w:u w:val="none"/>
        </w:rPr>
        <w:t xml:space="preserve">It is </w:t>
      </w:r>
      <w:r w:rsidRPr="00003212">
        <w:rPr>
          <w:rFonts w:eastAsia="Times New Roman"/>
        </w:rPr>
        <w:t>observable that the granting part of the deed begins by excepting from its operation all the lots, squares, lands and tenements which are within the exceptions. The words are, 'doth grant, &amp;c. except as is hereinafter excepted, all those hereinafter mentioned and described lots, squares, lands and tenements,' &amp;c. In order, therefore</w:t>
      </w:r>
      <w:r w:rsidRPr="00003212">
        <w:rPr>
          <w:rFonts w:eastAsia="Times New Roman"/>
          <w:highlight w:val="yellow"/>
        </w:rPr>
        <w:t>, to ascertain what is granted, we must first ascertain what is included in the exception; for whatever is within the exception, is excluded from the grant;</w:t>
      </w:r>
      <w:r w:rsidRPr="00003212">
        <w:rPr>
          <w:rFonts w:eastAsia="Times New Roman"/>
        </w:rPr>
        <w:t xml:space="preserve"> according to the maxim laid down in Co. </w:t>
      </w:r>
      <w:proofErr w:type="spellStart"/>
      <w:r w:rsidRPr="00003212">
        <w:rPr>
          <w:rFonts w:eastAsia="Times New Roman"/>
        </w:rPr>
        <w:t>Litt</w:t>
      </w:r>
      <w:proofErr w:type="spellEnd"/>
      <w:r w:rsidRPr="00003212">
        <w:rPr>
          <w:rFonts w:eastAsia="Times New Roman"/>
        </w:rPr>
        <w:t xml:space="preserve">. 47 a, </w:t>
      </w:r>
      <w:proofErr w:type="spellStart"/>
      <w:r w:rsidRPr="00003212">
        <w:rPr>
          <w:rFonts w:eastAsia="Times New Roman"/>
        </w:rPr>
        <w:t>si</w:t>
      </w:r>
      <w:proofErr w:type="spellEnd"/>
      <w:r w:rsidRPr="00003212">
        <w:rPr>
          <w:rFonts w:eastAsia="Times New Roman"/>
        </w:rPr>
        <w:t xml:space="preserve"> </w:t>
      </w:r>
      <w:proofErr w:type="spellStart"/>
      <w:r w:rsidRPr="00003212">
        <w:rPr>
          <w:rFonts w:eastAsia="Times New Roman"/>
        </w:rPr>
        <w:t>quis</w:t>
      </w:r>
      <w:proofErr w:type="spellEnd"/>
      <w:r w:rsidRPr="00003212">
        <w:rPr>
          <w:rFonts w:eastAsia="Times New Roman"/>
        </w:rPr>
        <w:t xml:space="preserve"> </w:t>
      </w:r>
      <w:proofErr w:type="spellStart"/>
      <w:r w:rsidRPr="00003212">
        <w:rPr>
          <w:rFonts w:eastAsia="Times New Roman"/>
        </w:rPr>
        <w:t>rem</w:t>
      </w:r>
      <w:proofErr w:type="spellEnd"/>
      <w:r w:rsidRPr="00003212">
        <w:rPr>
          <w:rFonts w:eastAsia="Times New Roman"/>
        </w:rPr>
        <w:t xml:space="preserve"> </w:t>
      </w:r>
      <w:proofErr w:type="spellStart"/>
      <w:r w:rsidRPr="00003212">
        <w:rPr>
          <w:rFonts w:eastAsia="Times New Roman"/>
        </w:rPr>
        <w:t>dat</w:t>
      </w:r>
      <w:proofErr w:type="spellEnd"/>
      <w:r w:rsidRPr="00003212">
        <w:rPr>
          <w:rFonts w:eastAsia="Times New Roman"/>
        </w:rPr>
        <w:t xml:space="preserve"> et </w:t>
      </w:r>
      <w:proofErr w:type="spellStart"/>
      <w:r w:rsidRPr="00003212">
        <w:rPr>
          <w:rFonts w:eastAsia="Times New Roman"/>
        </w:rPr>
        <w:t>partem</w:t>
      </w:r>
      <w:proofErr w:type="spellEnd"/>
      <w:r w:rsidRPr="00003212">
        <w:rPr>
          <w:rFonts w:eastAsia="Times New Roman"/>
        </w:rPr>
        <w:t xml:space="preserve"> </w:t>
      </w:r>
      <w:proofErr w:type="spellStart"/>
      <w:r w:rsidRPr="00003212">
        <w:rPr>
          <w:rFonts w:eastAsia="Times New Roman"/>
        </w:rPr>
        <w:t>retinet</w:t>
      </w:r>
      <w:proofErr w:type="spellEnd"/>
      <w:r w:rsidRPr="00003212">
        <w:rPr>
          <w:rFonts w:eastAsia="Times New Roman"/>
        </w:rPr>
        <w:t xml:space="preserve">, </w:t>
      </w:r>
      <w:proofErr w:type="spellStart"/>
      <w:r w:rsidRPr="00003212">
        <w:rPr>
          <w:rFonts w:eastAsia="Times New Roman"/>
        </w:rPr>
        <w:t>illa</w:t>
      </w:r>
      <w:proofErr w:type="spellEnd"/>
      <w:r w:rsidRPr="00003212">
        <w:rPr>
          <w:rFonts w:eastAsia="Times New Roman"/>
        </w:rPr>
        <w:t xml:space="preserve"> pars quam </w:t>
      </w:r>
      <w:proofErr w:type="spellStart"/>
      <w:r w:rsidRPr="00003212">
        <w:rPr>
          <w:rFonts w:eastAsia="Times New Roman"/>
        </w:rPr>
        <w:t>retinet</w:t>
      </w:r>
      <w:proofErr w:type="spellEnd"/>
      <w:r w:rsidRPr="00003212">
        <w:rPr>
          <w:rFonts w:eastAsia="Times New Roman"/>
        </w:rPr>
        <w:t xml:space="preserve"> </w:t>
      </w:r>
      <w:proofErr w:type="spellStart"/>
      <w:r w:rsidRPr="00003212">
        <w:rPr>
          <w:rFonts w:eastAsia="Times New Roman"/>
        </w:rPr>
        <w:t>semper</w:t>
      </w:r>
      <w:proofErr w:type="spellEnd"/>
      <w:r w:rsidRPr="00003212">
        <w:rPr>
          <w:rFonts w:eastAsia="Times New Roman"/>
        </w:rPr>
        <w:t xml:space="preserve"> cum </w:t>
      </w:r>
      <w:proofErr w:type="spellStart"/>
      <w:r w:rsidRPr="00003212">
        <w:rPr>
          <w:rFonts w:eastAsia="Times New Roman"/>
        </w:rPr>
        <w:t>eo</w:t>
      </w:r>
      <w:proofErr w:type="spellEnd"/>
      <w:r w:rsidRPr="00003212">
        <w:rPr>
          <w:rFonts w:eastAsia="Times New Roman"/>
        </w:rPr>
        <w:t xml:space="preserve"> </w:t>
      </w:r>
      <w:proofErr w:type="spellStart"/>
      <w:r w:rsidRPr="00003212">
        <w:rPr>
          <w:rFonts w:eastAsia="Times New Roman"/>
        </w:rPr>
        <w:t>est</w:t>
      </w:r>
      <w:proofErr w:type="spellEnd"/>
      <w:r w:rsidRPr="00003212">
        <w:rPr>
          <w:rFonts w:eastAsia="Times New Roman"/>
        </w:rPr>
        <w:t xml:space="preserve">, et </w:t>
      </w:r>
      <w:proofErr w:type="spellStart"/>
      <w:r w:rsidRPr="00003212">
        <w:rPr>
          <w:rFonts w:eastAsia="Times New Roman"/>
        </w:rPr>
        <w:t>semper</w:t>
      </w:r>
      <w:proofErr w:type="spellEnd"/>
      <w:r w:rsidRPr="00003212">
        <w:rPr>
          <w:rFonts w:eastAsia="Times New Roman"/>
        </w:rPr>
        <w:t xml:space="preserve"> </w:t>
      </w:r>
      <w:proofErr w:type="spellStart"/>
      <w:r w:rsidRPr="00003212">
        <w:rPr>
          <w:rFonts w:eastAsia="Times New Roman"/>
        </w:rPr>
        <w:t>fuit</w:t>
      </w:r>
      <w:proofErr w:type="spellEnd"/>
      <w:r w:rsidRPr="00003212">
        <w:rPr>
          <w:rFonts w:eastAsia="Times New Roman"/>
        </w:rPr>
        <w:t>.</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5</w:t>
      </w:r>
      <w:r w:rsidR="001B7A59">
        <w:rPr>
          <w:rFonts w:eastAsia="Times New Roman"/>
          <w:u w:val="none"/>
        </w:rPr>
        <w:t xml:space="preserve">. </w:t>
      </w:r>
      <w:r w:rsidRPr="000D1DDE">
        <w:rPr>
          <w:rFonts w:eastAsia="Times New Roman"/>
          <w:u w:val="none"/>
        </w:rPr>
        <w:t xml:space="preserve">It has been argued that the second clause in the exception is utterly void for uncertainty, because it excepts 'such squares, lots, &amp;c. as were either conveyed or sold, or agreed to be conveyed,' without stating to whom sold or conveyed, or agreed to be conveyed, or giving any other description which would reduce them to certainty. And it has been intimated that it is also void for repugnancy, because it is an exception of a part which had been previously granted; and Co. </w:t>
      </w:r>
      <w:proofErr w:type="spellStart"/>
      <w:r w:rsidRPr="000D1DDE">
        <w:rPr>
          <w:rFonts w:eastAsia="Times New Roman"/>
          <w:u w:val="none"/>
        </w:rPr>
        <w:t>Litt</w:t>
      </w:r>
      <w:proofErr w:type="spellEnd"/>
      <w:r w:rsidRPr="000D1DDE">
        <w:rPr>
          <w:rFonts w:eastAsia="Times New Roman"/>
          <w:u w:val="none"/>
        </w:rPr>
        <w:t>. 47 a, has been relied on in support of this objection; where it is laid down that an exception of a thing certain out of a thing particular and certain, will be void; as, if a man leaves twenty acres, excepting one acre, the exception is void. Com. Dig. Fait, E. 7. But without stopping to inquire in what sense, and to what extent the rule thus laid down is law, it is sufficient to say that there is no such repugnancy here; for the exception is not out of the thing previously granted, but is incorporated into the very substance of the granting clause.</w:t>
      </w: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Default="001B7A59" w:rsidP="001B7A59">
      <w:pPr>
        <w:spacing w:line="240" w:lineRule="auto"/>
        <w:ind w:left="0" w:firstLine="0"/>
        <w:rPr>
          <w:rFonts w:eastAsia="Times New Roman"/>
          <w:u w:val="none"/>
        </w:rPr>
      </w:pPr>
    </w:p>
    <w:p w:rsidR="001B7A59" w:rsidRPr="000D1DDE" w:rsidRDefault="001B7A59" w:rsidP="001B7A59">
      <w:pPr>
        <w:spacing w:line="240" w:lineRule="auto"/>
        <w:ind w:left="0" w:firstLine="0"/>
        <w:rPr>
          <w:rFonts w:eastAsia="Times New Roman"/>
          <w:u w:val="none"/>
        </w:rPr>
      </w:pPr>
    </w:p>
    <w:p w:rsidR="000D1DDE" w:rsidRDefault="001B7A59" w:rsidP="001B7A59">
      <w:pPr>
        <w:spacing w:line="240" w:lineRule="auto"/>
        <w:ind w:left="0" w:firstLine="0"/>
        <w:rPr>
          <w:rFonts w:eastAsia="Times New Roman"/>
          <w:u w:val="none"/>
        </w:rPr>
      </w:pPr>
      <w:r>
        <w:rPr>
          <w:rFonts w:eastAsia="Times New Roman"/>
          <w:u w:val="none"/>
        </w:rPr>
        <w:t xml:space="preserve">6. </w:t>
      </w:r>
      <w:r w:rsidR="000D1DDE" w:rsidRPr="000D1DDE">
        <w:rPr>
          <w:rFonts w:eastAsia="Times New Roman"/>
          <w:u w:val="none"/>
        </w:rPr>
        <w:t xml:space="preserve">As to the other exception, we do not think it is void for uncertainty. It refers to things by which it may be made certain; and id </w:t>
      </w:r>
      <w:proofErr w:type="spellStart"/>
      <w:r w:rsidR="000D1DDE" w:rsidRPr="000D1DDE">
        <w:rPr>
          <w:rFonts w:eastAsia="Times New Roman"/>
          <w:u w:val="none"/>
        </w:rPr>
        <w:t>certum</w:t>
      </w:r>
      <w:proofErr w:type="spellEnd"/>
      <w:r w:rsidR="000D1DDE" w:rsidRPr="000D1DDE">
        <w:rPr>
          <w:rFonts w:eastAsia="Times New Roman"/>
          <w:u w:val="none"/>
        </w:rPr>
        <w:t xml:space="preserve"> </w:t>
      </w:r>
      <w:proofErr w:type="spellStart"/>
      <w:r w:rsidR="000D1DDE" w:rsidRPr="000D1DDE">
        <w:rPr>
          <w:rFonts w:eastAsia="Times New Roman"/>
          <w:u w:val="none"/>
        </w:rPr>
        <w:t>est</w:t>
      </w:r>
      <w:proofErr w:type="spellEnd"/>
      <w:r w:rsidR="000D1DDE" w:rsidRPr="000D1DDE">
        <w:rPr>
          <w:rFonts w:eastAsia="Times New Roman"/>
          <w:u w:val="none"/>
        </w:rPr>
        <w:t xml:space="preserve">, quod </w:t>
      </w:r>
      <w:proofErr w:type="spellStart"/>
      <w:r w:rsidR="000D1DDE" w:rsidRPr="000D1DDE">
        <w:rPr>
          <w:rFonts w:eastAsia="Times New Roman"/>
          <w:u w:val="none"/>
        </w:rPr>
        <w:t>certum</w:t>
      </w:r>
      <w:proofErr w:type="spellEnd"/>
      <w:r w:rsidR="000D1DDE" w:rsidRPr="000D1DDE">
        <w:rPr>
          <w:rFonts w:eastAsia="Times New Roman"/>
          <w:u w:val="none"/>
        </w:rPr>
        <w:t xml:space="preserve"> </w:t>
      </w:r>
      <w:proofErr w:type="spellStart"/>
      <w:r w:rsidR="000D1DDE" w:rsidRPr="000D1DDE">
        <w:rPr>
          <w:rFonts w:eastAsia="Times New Roman"/>
          <w:u w:val="none"/>
        </w:rPr>
        <w:t>reddi</w:t>
      </w:r>
      <w:proofErr w:type="spellEnd"/>
      <w:r w:rsidR="000D1DDE" w:rsidRPr="000D1DDE">
        <w:rPr>
          <w:rFonts w:eastAsia="Times New Roman"/>
          <w:u w:val="none"/>
        </w:rPr>
        <w:t xml:space="preserve"> </w:t>
      </w:r>
      <w:proofErr w:type="spellStart"/>
      <w:r w:rsidR="000D1DDE" w:rsidRPr="000D1DDE">
        <w:rPr>
          <w:rFonts w:eastAsia="Times New Roman"/>
          <w:u w:val="none"/>
        </w:rPr>
        <w:t>potest</w:t>
      </w:r>
      <w:proofErr w:type="spellEnd"/>
      <w:r w:rsidR="000D1DDE" w:rsidRPr="000D1DDE">
        <w:rPr>
          <w:rFonts w:eastAsia="Times New Roman"/>
          <w:u w:val="none"/>
        </w:rPr>
        <w:t>. No one will doubt that the exception of squares and lots actually sold and conveyed, would be sufficiently certain; for they may be made certain by reference to the deeds of conveyance. And as all contracts for the sale and conveyance of lands must be in writing, there seems the same certainty in reference to the lots contracted to be conveyed by the parties or their agents.</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7</w:t>
      </w:r>
      <w:r w:rsidR="001B7A59">
        <w:rPr>
          <w:rFonts w:eastAsia="Times New Roman"/>
          <w:u w:val="none"/>
        </w:rPr>
        <w:t xml:space="preserve">. </w:t>
      </w:r>
      <w:r w:rsidRPr="000D1DDE">
        <w:rPr>
          <w:rFonts w:eastAsia="Times New Roman"/>
          <w:u w:val="none"/>
        </w:rPr>
        <w:t xml:space="preserve">It has been suggested, that </w:t>
      </w:r>
      <w:r w:rsidRPr="00003212">
        <w:rPr>
          <w:rFonts w:eastAsia="Times New Roman"/>
        </w:rPr>
        <w:t>the generality of the exception might open a door to frauds and impositions upon third persons, by enabling the parties to bring forward spurious or concealed contracts at a future time. But to this objection it is a sufficient answer, that the present is not a case of a bona fide purchaser or grantee, whose title may be affected by any such fraud or concealment. The defendant, Birth, is a mere stranger to the title, and for aught that appears, is a mere intruder. It does not lie in his mouth to contend that an exception, solemnly stipulated for by the parties, shall not be binding between them</w:t>
      </w:r>
      <w:r w:rsidRPr="000D1DDE">
        <w:rPr>
          <w:rFonts w:eastAsia="Times New Roman"/>
          <w:u w:val="none"/>
        </w:rPr>
        <w:t xml:space="preserve">. They were content to take the conveyance upon these terms. There was certainly enough in the exception to satisfy them; and it would be a fraud in the grantees to attempt to avail themselves of the general and loose expressions of the exception, to avoid the titles of parties claiming title under Greenleaf by prior deeds or contracts of lots within the reservation. Even if the exception were void at law, a court of equity would relieve them against the claims of Morris and Nicholson, set up to their prejudice. It is not improbable that many such titles in this city are now held under the faith of this exception; and a declaration, at the instance of a mere intruder, that it was utterly void, might work the most serious </w:t>
      </w:r>
      <w:proofErr w:type="spellStart"/>
      <w:r w:rsidRPr="000D1DDE">
        <w:rPr>
          <w:rFonts w:eastAsia="Times New Roman"/>
          <w:u w:val="none"/>
        </w:rPr>
        <w:t>mischiefs</w:t>
      </w:r>
      <w:proofErr w:type="spellEnd"/>
      <w:r w:rsidRPr="000D1DDE">
        <w:rPr>
          <w:rFonts w:eastAsia="Times New Roman"/>
          <w:u w:val="none"/>
        </w:rPr>
        <w:t>. We see no substantial ground to support it.</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8</w:t>
      </w:r>
      <w:r w:rsidR="001B7A59">
        <w:rPr>
          <w:rFonts w:eastAsia="Times New Roman"/>
          <w:u w:val="none"/>
        </w:rPr>
        <w:t xml:space="preserve">. </w:t>
      </w:r>
      <w:r w:rsidRPr="000D1DDE">
        <w:rPr>
          <w:rFonts w:eastAsia="Times New Roman"/>
          <w:u w:val="none"/>
        </w:rPr>
        <w:t>But if it were otherwise; still the other exception of the square number 506, and the other two squares next south of it, are sufficiently certain. This court cannot judicially know that one of the squares next south of square number 506 is not square number 75; and there is nothing in the record that negatives it, for the defendant offered no evidence except the naked deed.</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9</w:t>
      </w:r>
      <w:r w:rsidR="001B7A59">
        <w:rPr>
          <w:rFonts w:eastAsia="Times New Roman"/>
          <w:u w:val="none"/>
        </w:rPr>
        <w:t xml:space="preserve">. </w:t>
      </w:r>
      <w:r w:rsidRPr="000D1DDE">
        <w:rPr>
          <w:rFonts w:eastAsia="Times New Roman"/>
          <w:u w:val="none"/>
        </w:rPr>
        <w:t>But it is said that if the exception is not void, still the bur</w:t>
      </w:r>
      <w:r w:rsidR="00003212">
        <w:rPr>
          <w:rFonts w:eastAsia="Times New Roman"/>
          <w:u w:val="none"/>
        </w:rPr>
        <w:t>d</w:t>
      </w:r>
      <w:r w:rsidRPr="000D1DDE">
        <w:rPr>
          <w:rFonts w:eastAsia="Times New Roman"/>
          <w:u w:val="none"/>
        </w:rPr>
        <w:t xml:space="preserve">en of proof is upon the plaintiff to establish that the lot in controversy is within the exception; because </w:t>
      </w:r>
      <w:r w:rsidRPr="00003212">
        <w:rPr>
          <w:rFonts w:eastAsia="Times New Roman"/>
        </w:rPr>
        <w:t xml:space="preserve">it is peculiarly within the </w:t>
      </w:r>
      <w:proofErr w:type="spellStart"/>
      <w:r w:rsidRPr="00003212">
        <w:rPr>
          <w:rFonts w:eastAsia="Times New Roman"/>
        </w:rPr>
        <w:t>privity</w:t>
      </w:r>
      <w:proofErr w:type="spellEnd"/>
      <w:r w:rsidRPr="00003212">
        <w:rPr>
          <w:rFonts w:eastAsia="Times New Roman"/>
        </w:rPr>
        <w:t xml:space="preserve"> and knowledge of the plaintiff's </w:t>
      </w:r>
      <w:proofErr w:type="spellStart"/>
      <w:r w:rsidRPr="00003212">
        <w:rPr>
          <w:rFonts w:eastAsia="Times New Roman"/>
        </w:rPr>
        <w:t>lessor</w:t>
      </w:r>
      <w:proofErr w:type="spellEnd"/>
      <w:r w:rsidRPr="00003212">
        <w:rPr>
          <w:rFonts w:eastAsia="Times New Roman"/>
        </w:rPr>
        <w:t xml:space="preserve"> what lots were conveyed and sold, and contracted to be conveyed, and the defendant has no means of knowledge.</w:t>
      </w:r>
      <w:r w:rsidRPr="000D1DDE">
        <w:rPr>
          <w:rFonts w:eastAsia="Times New Roman"/>
          <w:u w:val="none"/>
        </w:rPr>
        <w:t xml:space="preserve"> That in many cases the bur</w:t>
      </w:r>
      <w:r w:rsidR="00003212">
        <w:rPr>
          <w:rFonts w:eastAsia="Times New Roman"/>
          <w:u w:val="none"/>
        </w:rPr>
        <w:t>d</w:t>
      </w:r>
      <w:r w:rsidRPr="000D1DDE">
        <w:rPr>
          <w:rFonts w:eastAsia="Times New Roman"/>
          <w:u w:val="none"/>
        </w:rPr>
        <w:t xml:space="preserve">en of proof is on the party within whose peculiar knowledge and means of information the fact lies, is admitted. But the rule is far from being universal, and has many qualifications upon its application. In the present case the plaintiff has shown, prima facie, a good title to recover. </w:t>
      </w:r>
      <w:r w:rsidRPr="00003212">
        <w:rPr>
          <w:rFonts w:eastAsia="Times New Roman"/>
        </w:rPr>
        <w:t xml:space="preserve">The defendant sets up no title in himself, but seeks to maintain his possession as a mere intruder, by setting up a title in third persons, with whom he has no </w:t>
      </w:r>
      <w:proofErr w:type="spellStart"/>
      <w:r w:rsidRPr="00003212">
        <w:rPr>
          <w:rFonts w:eastAsia="Times New Roman"/>
        </w:rPr>
        <w:t>privity</w:t>
      </w:r>
      <w:proofErr w:type="spellEnd"/>
      <w:r w:rsidRPr="00003212">
        <w:rPr>
          <w:rFonts w:eastAsia="Times New Roman"/>
        </w:rPr>
        <w:t>.</w:t>
      </w:r>
      <w:r w:rsidRPr="000D1DDE">
        <w:rPr>
          <w:rFonts w:eastAsia="Times New Roman"/>
          <w:u w:val="none"/>
        </w:rPr>
        <w:t xml:space="preserve"> In such a case it is incumbent upon the party setting up the </w:t>
      </w:r>
      <w:proofErr w:type="spellStart"/>
      <w:r w:rsidRPr="000D1DDE">
        <w:rPr>
          <w:rFonts w:eastAsia="Times New Roman"/>
          <w:u w:val="none"/>
        </w:rPr>
        <w:t>defence</w:t>
      </w:r>
      <w:proofErr w:type="spellEnd"/>
      <w:r w:rsidRPr="000D1DDE">
        <w:rPr>
          <w:rFonts w:eastAsia="Times New Roman"/>
          <w:u w:val="none"/>
        </w:rPr>
        <w:t xml:space="preserve">, to establish the existence of such an outstanding title beyond controversy. It is not sufficient for him to show that there may possibly be such a title. If he leaves it in doubt, that is enough for the plaintiff. He has a right to stand upon his prima facie good title, and he is not bound to furnish any evidence to assist the </w:t>
      </w:r>
      <w:proofErr w:type="spellStart"/>
      <w:r w:rsidRPr="000D1DDE">
        <w:rPr>
          <w:rFonts w:eastAsia="Times New Roman"/>
          <w:u w:val="none"/>
        </w:rPr>
        <w:t>defence</w:t>
      </w:r>
      <w:proofErr w:type="spellEnd"/>
      <w:r w:rsidRPr="000D1DDE">
        <w:rPr>
          <w:rFonts w:eastAsia="Times New Roman"/>
          <w:u w:val="none"/>
        </w:rPr>
        <w:t>. It is not incumbent on him, negatively, to establish the non-existence of such an outstanding title; it is the duty of the defendant to make its existence certain.</w:t>
      </w:r>
    </w:p>
    <w:p w:rsidR="00003212" w:rsidRPr="000D1DDE" w:rsidRDefault="00003212" w:rsidP="001B7A59">
      <w:pPr>
        <w:spacing w:line="240" w:lineRule="auto"/>
        <w:ind w:left="0" w:firstLine="0"/>
        <w:rPr>
          <w:rFonts w:eastAsia="Times New Roman"/>
          <w:u w:val="none"/>
        </w:rPr>
      </w:pPr>
    </w:p>
    <w:p w:rsidR="001B7A59" w:rsidRDefault="000D1DDE" w:rsidP="00003212">
      <w:pPr>
        <w:spacing w:line="240" w:lineRule="auto"/>
        <w:ind w:left="0" w:firstLine="0"/>
        <w:rPr>
          <w:rFonts w:eastAsia="Times New Roman"/>
          <w:u w:val="none"/>
        </w:rPr>
      </w:pPr>
      <w:r w:rsidRPr="000D1DDE">
        <w:rPr>
          <w:rFonts w:eastAsia="Times New Roman"/>
          <w:u w:val="none"/>
        </w:rPr>
        <w:t>10</w:t>
      </w:r>
      <w:r w:rsidR="00003212">
        <w:rPr>
          <w:rFonts w:eastAsia="Times New Roman"/>
          <w:u w:val="none"/>
        </w:rPr>
        <w:t xml:space="preserve">. </w:t>
      </w:r>
      <w:r w:rsidRPr="000D1DDE">
        <w:rPr>
          <w:rFonts w:eastAsia="Times New Roman"/>
          <w:u w:val="none"/>
        </w:rPr>
        <w:t xml:space="preserve">Besides, </w:t>
      </w:r>
      <w:r w:rsidRPr="00003212">
        <w:rPr>
          <w:rFonts w:eastAsia="Times New Roman"/>
          <w:u w:val="double"/>
        </w:rPr>
        <w:t>this is the case of an outstanding title set up under a deed executed in 1796, under which, in respect to the act in controversy, the grantees are not shown either to have had, or to have claimed any possession or right of possession.</w:t>
      </w:r>
      <w:r w:rsidRPr="000D1DDE">
        <w:rPr>
          <w:rFonts w:eastAsia="Times New Roman"/>
          <w:u w:val="none"/>
        </w:rPr>
        <w:t xml:space="preserve"> </w:t>
      </w:r>
      <w:r w:rsidRPr="00003212">
        <w:rPr>
          <w:rFonts w:eastAsia="Times New Roman"/>
        </w:rPr>
        <w:t xml:space="preserve">The present </w:t>
      </w:r>
      <w:proofErr w:type="spellStart"/>
      <w:r w:rsidRPr="00003212">
        <w:rPr>
          <w:rFonts w:eastAsia="Times New Roman"/>
        </w:rPr>
        <w:t>ejectment</w:t>
      </w:r>
      <w:proofErr w:type="spellEnd"/>
      <w:r w:rsidRPr="00003212">
        <w:rPr>
          <w:rFonts w:eastAsia="Times New Roman"/>
        </w:rPr>
        <w:t xml:space="preserve"> was brought in 1818, twenty-two years after the execution of that deed; and the trial had in 1829, more than thirty-three years after its execution.</w:t>
      </w:r>
      <w:r w:rsidRPr="000D1DDE">
        <w:rPr>
          <w:rFonts w:eastAsia="Times New Roman"/>
          <w:u w:val="none"/>
        </w:rPr>
        <w:t xml:space="preserve"> Under such circumstances, a very strong presumption certainly arises that the lot was included within the exception; for it would be difficult in any other manner to account for such total absence of claim, or possession, by the grantees. An outstanding </w:t>
      </w:r>
    </w:p>
    <w:p w:rsidR="001B7A59" w:rsidRDefault="001B7A59" w:rsidP="000D1DDE">
      <w:pPr>
        <w:spacing w:before="100" w:beforeAutospacing="1" w:after="100" w:afterAutospacing="1" w:line="240" w:lineRule="auto"/>
        <w:ind w:left="0" w:firstLine="0"/>
        <w:rPr>
          <w:rFonts w:eastAsia="Times New Roman"/>
          <w:u w:val="none"/>
        </w:rPr>
      </w:pPr>
    </w:p>
    <w:p w:rsidR="001B7A59" w:rsidRDefault="001B7A59" w:rsidP="000D1DDE">
      <w:pPr>
        <w:spacing w:before="100" w:beforeAutospacing="1" w:after="100" w:afterAutospacing="1" w:line="240" w:lineRule="auto"/>
        <w:ind w:left="0" w:firstLine="0"/>
        <w:rPr>
          <w:rFonts w:eastAsia="Times New Roman"/>
          <w:u w:val="none"/>
        </w:rPr>
      </w:pPr>
    </w:p>
    <w:p w:rsidR="00003212" w:rsidRDefault="00003212" w:rsidP="000D1DDE">
      <w:pPr>
        <w:spacing w:before="100" w:beforeAutospacing="1" w:after="100" w:afterAutospacing="1" w:line="240" w:lineRule="auto"/>
        <w:ind w:left="0" w:firstLine="0"/>
        <w:rPr>
          <w:rFonts w:eastAsia="Times New Roman"/>
          <w:u w:val="none"/>
        </w:rPr>
      </w:pPr>
    </w:p>
    <w:p w:rsidR="000D1DDE" w:rsidRPr="000D1DDE" w:rsidRDefault="00003212" w:rsidP="000D1DDE">
      <w:pPr>
        <w:spacing w:before="100" w:beforeAutospacing="1" w:after="100" w:afterAutospacing="1" w:line="240" w:lineRule="auto"/>
        <w:ind w:left="0" w:firstLine="0"/>
        <w:rPr>
          <w:rFonts w:eastAsia="Times New Roman"/>
          <w:u w:val="none"/>
        </w:rPr>
      </w:pPr>
      <w:r w:rsidRPr="000D1DDE">
        <w:rPr>
          <w:rFonts w:eastAsia="Times New Roman"/>
          <w:u w:val="none"/>
        </w:rPr>
        <w:t xml:space="preserve">title </w:t>
      </w:r>
      <w:r w:rsidR="000D1DDE" w:rsidRPr="000D1DDE">
        <w:rPr>
          <w:rFonts w:eastAsia="Times New Roman"/>
          <w:u w:val="none"/>
        </w:rPr>
        <w:t>could hardly be deemed a good subsisting title by common presumption, under such circumstances; whereas, if the lot was within the exception, the non-claim would be natural and fully accounted for. We are therefore of opinion that the circuit court erred, in refusing the instruction prayed for by the plaintiff in the first bill of exceptions.</w:t>
      </w:r>
    </w:p>
    <w:p w:rsidR="000D1DDE" w:rsidRDefault="000D1DDE" w:rsidP="001B7A59">
      <w:pPr>
        <w:spacing w:line="240" w:lineRule="auto"/>
        <w:ind w:left="0" w:firstLine="0"/>
        <w:rPr>
          <w:rFonts w:eastAsia="Times New Roman"/>
          <w:u w:val="none"/>
        </w:rPr>
      </w:pPr>
      <w:r w:rsidRPr="000D1DDE">
        <w:rPr>
          <w:rFonts w:eastAsia="Times New Roman"/>
          <w:u w:val="none"/>
        </w:rPr>
        <w:t>11</w:t>
      </w:r>
      <w:r w:rsidR="001B7A59">
        <w:rPr>
          <w:rFonts w:eastAsia="Times New Roman"/>
          <w:u w:val="none"/>
        </w:rPr>
        <w:t xml:space="preserve">. </w:t>
      </w:r>
      <w:r w:rsidRPr="000D1DDE">
        <w:rPr>
          <w:rFonts w:eastAsia="Times New Roman"/>
          <w:u w:val="none"/>
        </w:rPr>
        <w:t xml:space="preserve">The second bill of exceptions, after stating that the defendant admitted that </w:t>
      </w:r>
      <w:r w:rsidRPr="00003212">
        <w:rPr>
          <w:rFonts w:eastAsia="Times New Roman"/>
        </w:rPr>
        <w:t xml:space="preserve">the legal title to the lot in question, under the patent from the state of Maryland, was vested in the plaintiff by the patent, and by divers </w:t>
      </w:r>
      <w:proofErr w:type="spellStart"/>
      <w:r w:rsidRPr="00003212">
        <w:rPr>
          <w:rFonts w:eastAsia="Times New Roman"/>
        </w:rPr>
        <w:t>mesne</w:t>
      </w:r>
      <w:proofErr w:type="spellEnd"/>
      <w:r w:rsidRPr="00003212">
        <w:rPr>
          <w:rFonts w:eastAsia="Times New Roman"/>
        </w:rPr>
        <w:t xml:space="preserve"> conveyances on the 30th day of August 1799, proceeds to state, that, thereupon, to prove a title out of James Greenleaf,</w:t>
      </w:r>
      <w:r w:rsidRPr="000D1DDE">
        <w:rPr>
          <w:rFonts w:eastAsia="Times New Roman"/>
          <w:u w:val="none"/>
        </w:rPr>
        <w:t xml:space="preserve"> the defendant offered in evidence to the jury, the proceedings in the case of James Greenleaf, an insolvent before the chancellor of Maryland, and the act of Maryland of 1798, </w:t>
      </w:r>
      <w:proofErr w:type="spellStart"/>
      <w:r w:rsidRPr="000D1DDE">
        <w:rPr>
          <w:rFonts w:eastAsia="Times New Roman"/>
          <w:u w:val="none"/>
        </w:rPr>
        <w:t>ch</w:t>
      </w:r>
      <w:proofErr w:type="spellEnd"/>
      <w:r w:rsidRPr="000D1DDE">
        <w:rPr>
          <w:rFonts w:eastAsia="Times New Roman"/>
          <w:u w:val="none"/>
        </w:rPr>
        <w:t>. 64; to the admission of which proceedings the plaintiff objected; but the court overruled the objection and admitted the evidence; and thereupon, on the prayer of the defendant, the court instructed the jury, that the said act of 1798, and the proceedings of insolvency, did show a legal title out of the plaintiff, and did preclude a recovery in this suit on the first count in the plaintiff's declaration; that is to say, upon the demise of Greenleaf.</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12</w:t>
      </w:r>
      <w:r w:rsidR="001B7A59">
        <w:rPr>
          <w:rFonts w:eastAsia="Times New Roman"/>
          <w:u w:val="none"/>
        </w:rPr>
        <w:t xml:space="preserve">. </w:t>
      </w:r>
      <w:r w:rsidRPr="000D1DDE">
        <w:rPr>
          <w:rFonts w:eastAsia="Times New Roman"/>
          <w:u w:val="none"/>
        </w:rPr>
        <w:t xml:space="preserve">The plaintiff's counsel thereupon gave in evidence the proceedings in the case of the insolvency of Greenleaf, in the commonwealth of Pennsylvania, and the conveyances therein mentioned, </w:t>
      </w:r>
      <w:r w:rsidRPr="000D1DDE">
        <w:rPr>
          <w:rFonts w:eastAsia="Times New Roman"/>
          <w:i/>
          <w:iCs/>
          <w:u w:val="none"/>
        </w:rPr>
        <w:t>not recorded in the state of Maryland;</w:t>
      </w:r>
      <w:r w:rsidRPr="000D1DDE">
        <w:rPr>
          <w:rFonts w:eastAsia="Times New Roman"/>
          <w:u w:val="none"/>
        </w:rPr>
        <w:t xml:space="preserve"> and prayed the court to instruct the jury, the under the operation of the said proceedings in Maryland and Pennsylvania, the legal title to the premises in the declaration, notwithstanding said conveyances, was not divested from Greenleaf, by any thing by the defendant so shown; which instruction the court refused to give: to which refusal, and instruction, and admission of evidence the plaintiff excepted.</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13</w:t>
      </w:r>
      <w:r w:rsidR="001B7A59">
        <w:rPr>
          <w:rFonts w:eastAsia="Times New Roman"/>
          <w:u w:val="none"/>
        </w:rPr>
        <w:t xml:space="preserve">. </w:t>
      </w:r>
      <w:r w:rsidRPr="000D1DDE">
        <w:rPr>
          <w:rFonts w:eastAsia="Times New Roman"/>
          <w:u w:val="none"/>
        </w:rPr>
        <w:t xml:space="preserve">By the laws of Maryland, (with certain exceptions not necessary to be mentioned) no conveyance is sufficient to pass any estate of inheritance of freehold in lands, or any estate above seven years, except the deed or conveyance be in writing, and acknowledged in the general court, or before a judge thereof, or in the county court, or before two justices of the county where the lands lie, &amp;c. &amp;c., and be enrolled in the records of the county, or of the general court, within six months after the date thereof; see act of 1715, </w:t>
      </w:r>
      <w:proofErr w:type="spellStart"/>
      <w:r w:rsidRPr="000D1DDE">
        <w:rPr>
          <w:rFonts w:eastAsia="Times New Roman"/>
          <w:u w:val="none"/>
        </w:rPr>
        <w:t>ch</w:t>
      </w:r>
      <w:proofErr w:type="spellEnd"/>
      <w:r w:rsidRPr="000D1DDE">
        <w:rPr>
          <w:rFonts w:eastAsia="Times New Roman"/>
          <w:u w:val="none"/>
        </w:rPr>
        <w:t xml:space="preserve">. 47; act of 1767, </w:t>
      </w:r>
      <w:proofErr w:type="spellStart"/>
      <w:r w:rsidRPr="000D1DDE">
        <w:rPr>
          <w:rFonts w:eastAsia="Times New Roman"/>
          <w:u w:val="none"/>
        </w:rPr>
        <w:t>ch</w:t>
      </w:r>
      <w:proofErr w:type="spellEnd"/>
      <w:r w:rsidRPr="000D1DDE">
        <w:rPr>
          <w:rFonts w:eastAsia="Times New Roman"/>
          <w:u w:val="none"/>
        </w:rPr>
        <w:t xml:space="preserve">. 14; act of 1783, </w:t>
      </w:r>
      <w:proofErr w:type="spellStart"/>
      <w:r w:rsidRPr="000D1DDE">
        <w:rPr>
          <w:rFonts w:eastAsia="Times New Roman"/>
          <w:u w:val="none"/>
        </w:rPr>
        <w:t>ch</w:t>
      </w:r>
      <w:proofErr w:type="spellEnd"/>
      <w:r w:rsidRPr="000D1DDE">
        <w:rPr>
          <w:rFonts w:eastAsia="Times New Roman"/>
          <w:u w:val="none"/>
        </w:rPr>
        <w:t xml:space="preserve">. 9; act of 1794, </w:t>
      </w:r>
      <w:proofErr w:type="spellStart"/>
      <w:r w:rsidRPr="000D1DDE">
        <w:rPr>
          <w:rFonts w:eastAsia="Times New Roman"/>
          <w:u w:val="none"/>
        </w:rPr>
        <w:t>ch</w:t>
      </w:r>
      <w:proofErr w:type="spellEnd"/>
      <w:r w:rsidRPr="000D1DDE">
        <w:rPr>
          <w:rFonts w:eastAsia="Times New Roman"/>
          <w:u w:val="none"/>
        </w:rPr>
        <w:t xml:space="preserve">. 57; act of 1798, </w:t>
      </w:r>
      <w:proofErr w:type="spellStart"/>
      <w:r w:rsidRPr="000D1DDE">
        <w:rPr>
          <w:rFonts w:eastAsia="Times New Roman"/>
          <w:u w:val="none"/>
        </w:rPr>
        <w:t>ch</w:t>
      </w:r>
      <w:proofErr w:type="spellEnd"/>
      <w:r w:rsidRPr="000D1DDE">
        <w:rPr>
          <w:rFonts w:eastAsia="Times New Roman"/>
          <w:u w:val="none"/>
        </w:rPr>
        <w:t xml:space="preserve">. 103. Neither the deed of assignment of Greenleaf to the trustee under the Maryland insolvency, nor the deed of assignment of Greenleaf to the trustees, under the Pennsylvania insolvency, have ever been enrolled in the general court, or in the county where the land in controversy lies. Unless, then, some exception can be found which exempts these assignments from the general law, the omission to </w:t>
      </w:r>
      <w:proofErr w:type="spellStart"/>
      <w:r w:rsidRPr="000D1DDE">
        <w:rPr>
          <w:rFonts w:eastAsia="Times New Roman"/>
          <w:u w:val="none"/>
        </w:rPr>
        <w:t>enrol</w:t>
      </w:r>
      <w:proofErr w:type="spellEnd"/>
      <w:r w:rsidRPr="000D1DDE">
        <w:rPr>
          <w:rFonts w:eastAsia="Times New Roman"/>
          <w:u w:val="none"/>
        </w:rPr>
        <w:t xml:space="preserve"> them renders them, in a legal sense, mere nullities, and incapable of passing any title to the land in controversy. There is no pretence of any exception in relation to the assignment under the Pennsylvania proceeding; and therefore that did not divest the title of Greenleaf. But in regard to the Maryland proceedings, it is said that there is, under the act of 1798, </w:t>
      </w:r>
      <w:proofErr w:type="spellStart"/>
      <w:r w:rsidRPr="000D1DDE">
        <w:rPr>
          <w:rFonts w:eastAsia="Times New Roman"/>
          <w:u w:val="none"/>
        </w:rPr>
        <w:t>ch</w:t>
      </w:r>
      <w:proofErr w:type="spellEnd"/>
      <w:r w:rsidRPr="000D1DDE">
        <w:rPr>
          <w:rFonts w:eastAsia="Times New Roman"/>
          <w:u w:val="none"/>
        </w:rPr>
        <w:t xml:space="preserve">. 64, respecting insolvents, a constructive exception. That act provides, section fifth, that upon the petitioning debtor's (and Greenleaf was in that predicament) executing and acknowledging a deed to the trustee to be appointed, as the act requires, conveying all his property, real, personal, and mixed, &amp;c. and the trustee's certifying the same, it shall be lawful for the chancellor to order that the said debtor shall be discharged from all debts, &amp;c. Greenleaf was accordingly discharged, having in this respect complied with the terms of the act. The fifteenth section of the act provides 'that all proceedings under this act shall be recorded by the register, who shall be entitled to the same fees as are fixed by law for services in other cases, &amp;c. &amp;c.' Now the argument is, that this clause operates, pro </w:t>
      </w:r>
      <w:proofErr w:type="spellStart"/>
      <w:r w:rsidRPr="000D1DDE">
        <w:rPr>
          <w:rFonts w:eastAsia="Times New Roman"/>
          <w:u w:val="none"/>
        </w:rPr>
        <w:t>tanto</w:t>
      </w:r>
      <w:proofErr w:type="spellEnd"/>
      <w:r w:rsidRPr="000D1DDE">
        <w:rPr>
          <w:rFonts w:eastAsia="Times New Roman"/>
          <w:u w:val="none"/>
        </w:rPr>
        <w:t xml:space="preserve">, a repeal of the general laws, in relation to the enrolment of conveyances, so far as respects assignments by debtors under the act. But we think this is not the fair construction of the act. There is nothing in the act which requires the assignment to be recorded; nor does it necessarily constitute a part of the proceedings before the chancellor. On the contrary, the fifth section contemplates, that it shall be executed and acknowledged by the debtor in the usual manner, and the trustee is to certify the same to the chancellor. If the deed is to be acknowledged in the usual manner, then it is to be enrolled in the usual manner, for no provision is made for its enrolment elsewhere; </w:t>
      </w:r>
      <w:r w:rsidRPr="000D1DDE">
        <w:rPr>
          <w:rFonts w:eastAsia="Times New Roman"/>
          <w:u w:val="none"/>
        </w:rPr>
        <w:lastRenderedPageBreak/>
        <w:t xml:space="preserve">and the only judicial notice which the chancellor has of it, as connected with the proceedings before him, is by the certificate of the trustee. Nor is there any policy disclosed on the face of the act of 1798, which could justify the court in presuming, that the legislature intended, in respect to deeds of insolvent debtors, that the ordinary securities of enrolment should be dispensed with. We think, then, that there was error in the circuit court in </w:t>
      </w:r>
      <w:proofErr w:type="spellStart"/>
      <w:r w:rsidRPr="000D1DDE">
        <w:rPr>
          <w:rFonts w:eastAsia="Times New Roman"/>
          <w:u w:val="none"/>
        </w:rPr>
        <w:t>damitting</w:t>
      </w:r>
      <w:proofErr w:type="spellEnd"/>
      <w:r w:rsidRPr="000D1DDE">
        <w:rPr>
          <w:rFonts w:eastAsia="Times New Roman"/>
          <w:u w:val="none"/>
        </w:rPr>
        <w:t xml:space="preserve"> the proceedings under the Maryland insolvency; and also in instructing the jury that these proceedings showed a legal title out of the plaintiff, and precluded a recovery in the suit.</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14</w:t>
      </w:r>
      <w:r w:rsidR="001B7A59">
        <w:rPr>
          <w:rFonts w:eastAsia="Times New Roman"/>
          <w:u w:val="none"/>
        </w:rPr>
        <w:t xml:space="preserve">. </w:t>
      </w:r>
      <w:r w:rsidRPr="000D1DDE">
        <w:rPr>
          <w:rFonts w:eastAsia="Times New Roman"/>
          <w:u w:val="none"/>
        </w:rPr>
        <w:t xml:space="preserve">For the same reasons, there was error in the refusal of the circuit court to instruct the jury according to the prayer of the plaintiff's counsel; that under the operation of the said proceedings in Pennsylvania and in Maryland, the legal title to the premises was not divested from Greenleaf by </w:t>
      </w:r>
      <w:proofErr w:type="spellStart"/>
      <w:r w:rsidRPr="000D1DDE">
        <w:rPr>
          <w:rFonts w:eastAsia="Times New Roman"/>
          <w:u w:val="none"/>
        </w:rPr>
        <w:t>any thing</w:t>
      </w:r>
      <w:proofErr w:type="spellEnd"/>
      <w:r w:rsidRPr="000D1DDE">
        <w:rPr>
          <w:rFonts w:eastAsia="Times New Roman"/>
          <w:u w:val="none"/>
        </w:rPr>
        <w:t xml:space="preserve"> shown by the defendant.</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15</w:t>
      </w:r>
      <w:r w:rsidR="001B7A59">
        <w:rPr>
          <w:rFonts w:eastAsia="Times New Roman"/>
          <w:u w:val="none"/>
        </w:rPr>
        <w:t xml:space="preserve">. </w:t>
      </w:r>
      <w:r w:rsidRPr="000D1DDE">
        <w:rPr>
          <w:rFonts w:eastAsia="Times New Roman"/>
          <w:u w:val="none"/>
        </w:rPr>
        <w:t xml:space="preserve">The judgment of the circuit court is therefore reversed, and the cause is to be remanded to the circuit court, with directions to award a venire </w:t>
      </w:r>
      <w:proofErr w:type="spellStart"/>
      <w:r w:rsidRPr="000D1DDE">
        <w:rPr>
          <w:rFonts w:eastAsia="Times New Roman"/>
          <w:u w:val="none"/>
        </w:rPr>
        <w:t>facias</w:t>
      </w:r>
      <w:proofErr w:type="spellEnd"/>
      <w:r w:rsidRPr="000D1DDE">
        <w:rPr>
          <w:rFonts w:eastAsia="Times New Roman"/>
          <w:u w:val="none"/>
        </w:rPr>
        <w:t xml:space="preserve"> de novo.</w:t>
      </w:r>
    </w:p>
    <w:p w:rsidR="001B7A59" w:rsidRPr="000D1DDE" w:rsidRDefault="001B7A59" w:rsidP="001B7A59">
      <w:pPr>
        <w:spacing w:line="240" w:lineRule="auto"/>
        <w:ind w:left="0" w:firstLine="0"/>
        <w:rPr>
          <w:rFonts w:eastAsia="Times New Roman"/>
          <w:u w:val="none"/>
        </w:rPr>
      </w:pPr>
    </w:p>
    <w:p w:rsidR="000D1DDE" w:rsidRDefault="000D1DDE" w:rsidP="001B7A59">
      <w:pPr>
        <w:spacing w:line="240" w:lineRule="auto"/>
        <w:ind w:left="0" w:firstLine="0"/>
        <w:rPr>
          <w:rFonts w:eastAsia="Times New Roman"/>
          <w:u w:val="none"/>
        </w:rPr>
      </w:pPr>
      <w:r w:rsidRPr="000D1DDE">
        <w:rPr>
          <w:rFonts w:eastAsia="Times New Roman"/>
          <w:u w:val="none"/>
        </w:rPr>
        <w:t>16</w:t>
      </w:r>
      <w:r w:rsidR="001B7A59">
        <w:rPr>
          <w:rFonts w:eastAsia="Times New Roman"/>
          <w:u w:val="none"/>
        </w:rPr>
        <w:t xml:space="preserve">. </w:t>
      </w:r>
      <w:proofErr w:type="spellStart"/>
      <w:r w:rsidRPr="00003212">
        <w:rPr>
          <w:rFonts w:eastAsia="Times New Roman"/>
          <w:u w:val="double"/>
        </w:rPr>
        <w:t>Mr</w:t>
      </w:r>
      <w:proofErr w:type="spellEnd"/>
      <w:r w:rsidRPr="00003212">
        <w:rPr>
          <w:rFonts w:eastAsia="Times New Roman"/>
          <w:u w:val="double"/>
        </w:rPr>
        <w:t xml:space="preserve"> Chief Justice MARSHALL dissented from so much of the foregoing opinion as requires the defendant to show that the lot in the</w:t>
      </w:r>
      <w:r w:rsidR="00003212">
        <w:rPr>
          <w:rFonts w:eastAsia="Times New Roman"/>
          <w:u w:val="double"/>
        </w:rPr>
        <w:t xml:space="preserve"> </w:t>
      </w:r>
      <w:r w:rsidRPr="00003212">
        <w:rPr>
          <w:rFonts w:eastAsia="Times New Roman"/>
          <w:u w:val="double"/>
        </w:rPr>
        <w:t xml:space="preserve"> </w:t>
      </w:r>
      <w:r w:rsidR="00003212" w:rsidRPr="00003212">
        <w:rPr>
          <w:rFonts w:eastAsia="Times New Roman"/>
          <w:u w:val="double"/>
        </w:rPr>
        <w:t xml:space="preserve">DECLARATION MENTIONED, IS NOT WITHIN THAT PART OF THE EXCEPTION CONTAINED IN THE DEED </w:t>
      </w:r>
      <w:r w:rsidR="00003212">
        <w:rPr>
          <w:rFonts w:eastAsia="Times New Roman"/>
          <w:u w:val="double"/>
        </w:rPr>
        <w:t xml:space="preserve"> </w:t>
      </w:r>
      <w:r w:rsidRPr="00003212">
        <w:rPr>
          <w:rFonts w:eastAsia="Times New Roman"/>
          <w:u w:val="double"/>
        </w:rPr>
        <w:t xml:space="preserve">from Greenleaf to Morris and Nicholson, which excepts </w:t>
      </w:r>
      <w:proofErr w:type="spellStart"/>
      <w:r w:rsidRPr="00003212">
        <w:rPr>
          <w:rFonts w:eastAsia="Times New Roman"/>
          <w:u w:val="double"/>
        </w:rPr>
        <w:t>therefrom</w:t>
      </w:r>
      <w:proofErr w:type="spellEnd"/>
      <w:r w:rsidRPr="00003212">
        <w:rPr>
          <w:rFonts w:eastAsia="Times New Roman"/>
          <w:u w:val="double"/>
        </w:rPr>
        <w:t xml:space="preserve"> 'all such squares, lots, lands or tenements as were either conveyed, or sold, or agreed to be conveyed</w:t>
      </w:r>
      <w:r w:rsidRPr="000D1DDE">
        <w:rPr>
          <w:rFonts w:eastAsia="Times New Roman"/>
          <w:u w:val="none"/>
        </w:rPr>
        <w:t xml:space="preserve">, either by all or either of them, the said James Greenleaf, Robert Morris and John Nicholson, or any of their agents or attorneys, to any person or persons whatever, at any time prior to the said 10th day of July 1795:' </w:t>
      </w:r>
      <w:r w:rsidRPr="00003212">
        <w:rPr>
          <w:rFonts w:eastAsia="Times New Roman"/>
        </w:rPr>
        <w:t>because he understood it to impose on the defendant the necessity of proving a negative; and because the fact on which the exception depends, is within the knowledge of the plaintiff and not of the defendant.</w:t>
      </w:r>
    </w:p>
    <w:p w:rsidR="001B7A59" w:rsidRPr="000D1DDE" w:rsidRDefault="001B7A59" w:rsidP="001B7A59">
      <w:pPr>
        <w:spacing w:line="240" w:lineRule="auto"/>
        <w:ind w:left="0" w:firstLine="0"/>
        <w:rPr>
          <w:rFonts w:eastAsia="Times New Roman"/>
          <w:u w:val="none"/>
        </w:rPr>
      </w:pPr>
    </w:p>
    <w:p w:rsidR="000D1DDE" w:rsidRPr="000D1DDE" w:rsidRDefault="000D1DDE" w:rsidP="001B7A59">
      <w:pPr>
        <w:spacing w:line="240" w:lineRule="auto"/>
        <w:ind w:left="0" w:firstLine="0"/>
        <w:rPr>
          <w:rFonts w:eastAsia="Times New Roman"/>
          <w:u w:val="none"/>
        </w:rPr>
      </w:pPr>
      <w:r w:rsidRPr="000D1DDE">
        <w:rPr>
          <w:rFonts w:eastAsia="Times New Roman"/>
          <w:u w:val="none"/>
        </w:rPr>
        <w:t>17</w:t>
      </w:r>
      <w:r w:rsidR="001B7A59">
        <w:rPr>
          <w:rFonts w:eastAsia="Times New Roman"/>
          <w:u w:val="none"/>
        </w:rPr>
        <w:t xml:space="preserve">.  </w:t>
      </w:r>
      <w:r w:rsidRPr="000D1DDE">
        <w:rPr>
          <w:rFonts w:eastAsia="Times New Roman"/>
          <w:u w:val="none"/>
        </w:rPr>
        <w:t xml:space="preserve">This cause same on to be heard on the transcript of the record from the circuit court of the United States for the district of Columbia, </w:t>
      </w:r>
      <w:proofErr w:type="spellStart"/>
      <w:r w:rsidRPr="000D1DDE">
        <w:rPr>
          <w:rFonts w:eastAsia="Times New Roman"/>
          <w:u w:val="none"/>
        </w:rPr>
        <w:t>holden</w:t>
      </w:r>
      <w:proofErr w:type="spellEnd"/>
      <w:r w:rsidRPr="000D1DDE">
        <w:rPr>
          <w:rFonts w:eastAsia="Times New Roman"/>
          <w:u w:val="none"/>
        </w:rPr>
        <w:t xml:space="preserve"> in and for the county of Alexandria, and was argued by counsel. On consideration whereof, it is the opinion of this Court, that there was error in the circuit court in refusing to instruct the jury that the deed from Greenleaf to Morris and Nicholson, in the first bill of exceptions mentioned, unaccompanied by any other evidence, did not show such an outstanding title as was sufficient to bar the plaintiff's recovery in this suit, as in the same bill of exceptions mentioned. And it is further the opinion of this court that there was error in the circuit court in admitting the proceeding in the case of the said James Greenleaf, an insolvent, before the chancellor of Maryland, in the second bill of exceptions mentioned; and also in instructing the jury that the act of assembly of Maryland of 1798, </w:t>
      </w:r>
      <w:proofErr w:type="spellStart"/>
      <w:r w:rsidRPr="000D1DDE">
        <w:rPr>
          <w:rFonts w:eastAsia="Times New Roman"/>
          <w:u w:val="none"/>
        </w:rPr>
        <w:t>ch</w:t>
      </w:r>
      <w:proofErr w:type="spellEnd"/>
      <w:r w:rsidRPr="000D1DDE">
        <w:rPr>
          <w:rFonts w:eastAsia="Times New Roman"/>
          <w:u w:val="none"/>
        </w:rPr>
        <w:t xml:space="preserve">. 64, and proceedings of insolvency aforesaid, did show a legal title out of the plaintiff, and did preclude a recovery in this suit, on the first count in the plaintiff's declaration; and also in refusing to instruct the jury, that </w:t>
      </w:r>
      <w:r w:rsidRPr="00003212">
        <w:rPr>
          <w:rFonts w:eastAsia="Times New Roman"/>
        </w:rPr>
        <w:t>under the operation of the proceedings in Maryland and Pennsylvania, in the same bill of exceptions mentioned, the legal title to the premises in the declaration mentioned, notwithstanding said conveyance, was not divested from the said James Greenleaf, by any thing by the defendant so as aforesaid shown, as in the same bill of exceptions is mentioned</w:t>
      </w:r>
      <w:r w:rsidRPr="000D1DDE">
        <w:rPr>
          <w:rFonts w:eastAsia="Times New Roman"/>
          <w:u w:val="none"/>
        </w:rPr>
        <w:t xml:space="preserve">. It is therefore considered and adjudged by the court, that for the errors aforesaid, the judgment of the said circuit court be, and the same is hereby reversed, and the cause be remanded to the circuit court, with directions to award a venire </w:t>
      </w:r>
      <w:proofErr w:type="spellStart"/>
      <w:r w:rsidRPr="000D1DDE">
        <w:rPr>
          <w:rFonts w:eastAsia="Times New Roman"/>
          <w:u w:val="none"/>
        </w:rPr>
        <w:t>facias</w:t>
      </w:r>
      <w:proofErr w:type="spellEnd"/>
      <w:r w:rsidRPr="000D1DDE">
        <w:rPr>
          <w:rFonts w:eastAsia="Times New Roman"/>
          <w:u w:val="none"/>
        </w:rPr>
        <w:t xml:space="preserve"> de novo.</w:t>
      </w:r>
    </w:p>
    <w:p w:rsidR="000D1DDE" w:rsidRPr="000D1DDE" w:rsidRDefault="005E4B2B" w:rsidP="000D1DDE">
      <w:pPr>
        <w:spacing w:before="100" w:beforeAutospacing="1" w:after="100" w:afterAutospacing="1" w:line="240" w:lineRule="auto"/>
        <w:ind w:left="0" w:firstLine="0"/>
        <w:rPr>
          <w:rFonts w:eastAsia="Times New Roman"/>
          <w:u w:val="none"/>
        </w:rPr>
      </w:pPr>
      <w:hyperlink r:id="rId7" w:history="1">
        <w:r w:rsidR="000D1DDE" w:rsidRPr="000D1DDE">
          <w:rPr>
            <w:rFonts w:eastAsia="Times New Roman"/>
            <w:color w:val="0000FF"/>
          </w:rPr>
          <w:t>CC</w:t>
        </w:r>
        <w:r w:rsidR="000D1DDE" w:rsidRPr="000D1DDE">
          <w:rPr>
            <w:rFonts w:ascii="Cambria Math" w:eastAsia="Times New Roman" w:hAnsi="Cambria Math" w:cs="Cambria Math"/>
            <w:color w:val="0000FF"/>
          </w:rPr>
          <w:t>∅</w:t>
        </w:r>
      </w:hyperlink>
      <w:r w:rsidR="000D1DDE" w:rsidRPr="000D1DDE">
        <w:rPr>
          <w:rFonts w:eastAsia="Times New Roman"/>
          <w:u w:val="none"/>
        </w:rPr>
        <w:t xml:space="preserve"> | Transformed by </w:t>
      </w:r>
      <w:hyperlink r:id="rId8" w:history="1">
        <w:proofErr w:type="spellStart"/>
        <w:r w:rsidR="000D1DDE" w:rsidRPr="000D1DDE">
          <w:rPr>
            <w:rFonts w:eastAsia="Times New Roman"/>
            <w:color w:val="0000FF"/>
          </w:rPr>
          <w:t>Public.Reso</w:t>
        </w:r>
        <w:proofErr w:type="spellEnd"/>
      </w:hyperlink>
    </w:p>
    <w:p w:rsidR="000D1DDE" w:rsidRPr="004F26D9" w:rsidRDefault="004F26D9" w:rsidP="000D1DDE">
      <w:pPr>
        <w:ind w:left="0" w:firstLine="0"/>
        <w:rPr>
          <w:u w:val="none"/>
        </w:rPr>
      </w:pPr>
      <w:r w:rsidRPr="004F26D9">
        <w:rPr>
          <w:u w:val="none"/>
        </w:rPr>
        <w:t xml:space="preserve">See Also:  </w:t>
      </w:r>
      <w:hyperlink r:id="rId9" w:history="1">
        <w:r w:rsidRPr="004F26D9">
          <w:rPr>
            <w:rStyle w:val="Hyperlink"/>
          </w:rPr>
          <w:t>http</w:t>
        </w:r>
        <w:r w:rsidRPr="004F26D9">
          <w:rPr>
            <w:rStyle w:val="Hyperlink"/>
            <w:b/>
            <w:bCs/>
          </w:rPr>
          <w:t>s</w:t>
        </w:r>
        <w:r w:rsidRPr="004F26D9">
          <w:rPr>
            <w:rStyle w:val="Hyperlink"/>
          </w:rPr>
          <w:t>://en.wikipedia.org/wiki/</w:t>
        </w:r>
        <w:r w:rsidRPr="004F26D9">
          <w:rPr>
            <w:rStyle w:val="Hyperlink"/>
            <w:b/>
            <w:bCs/>
          </w:rPr>
          <w:t>James</w:t>
        </w:r>
        <w:r w:rsidRPr="004F26D9">
          <w:rPr>
            <w:rStyle w:val="Hyperlink"/>
          </w:rPr>
          <w:t>_</w:t>
        </w:r>
        <w:r w:rsidRPr="004F26D9">
          <w:rPr>
            <w:rStyle w:val="Hyperlink"/>
            <w:b/>
            <w:bCs/>
          </w:rPr>
          <w:t>Greenleaf</w:t>
        </w:r>
      </w:hyperlink>
    </w:p>
    <w:sectPr w:rsidR="000D1DDE" w:rsidRPr="004F26D9" w:rsidSect="002C0782">
      <w:footerReference w:type="default" r:id="rId10"/>
      <w:pgSz w:w="12240" w:h="15840" w:code="1"/>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821" w:rsidRDefault="006A2821" w:rsidP="002C0782">
      <w:pPr>
        <w:spacing w:line="240" w:lineRule="auto"/>
      </w:pPr>
      <w:r>
        <w:separator/>
      </w:r>
    </w:p>
  </w:endnote>
  <w:endnote w:type="continuationSeparator" w:id="0">
    <w:p w:rsidR="006A2821" w:rsidRDefault="006A2821" w:rsidP="002C07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191522"/>
      <w:docPartObj>
        <w:docPartGallery w:val="Page Numbers (Bottom of Page)"/>
        <w:docPartUnique/>
      </w:docPartObj>
    </w:sdtPr>
    <w:sdtContent>
      <w:p w:rsidR="002C0782" w:rsidRDefault="002C0782">
        <w:pPr>
          <w:pStyle w:val="Footer"/>
          <w:jc w:val="right"/>
        </w:pPr>
        <w:fldSimple w:instr=" PAGE   \* MERGEFORMAT ">
          <w:r w:rsidR="004F26D9">
            <w:rPr>
              <w:noProof/>
            </w:rPr>
            <w:t>8</w:t>
          </w:r>
        </w:fldSimple>
      </w:p>
    </w:sdtContent>
  </w:sdt>
  <w:p w:rsidR="002C0782" w:rsidRDefault="002C0782" w:rsidP="002C0782">
    <w:pPr>
      <w:pStyle w:val="Foote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821" w:rsidRDefault="006A2821" w:rsidP="002C0782">
      <w:pPr>
        <w:spacing w:line="240" w:lineRule="auto"/>
      </w:pPr>
      <w:r>
        <w:separator/>
      </w:r>
    </w:p>
  </w:footnote>
  <w:footnote w:type="continuationSeparator" w:id="0">
    <w:p w:rsidR="006A2821" w:rsidRDefault="006A2821" w:rsidP="002C078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1DDE"/>
    <w:rsid w:val="00003212"/>
    <w:rsid w:val="000D1DDE"/>
    <w:rsid w:val="001B7A59"/>
    <w:rsid w:val="002535E2"/>
    <w:rsid w:val="002C0782"/>
    <w:rsid w:val="0045749A"/>
    <w:rsid w:val="004F26D9"/>
    <w:rsid w:val="004F648E"/>
    <w:rsid w:val="005D29C2"/>
    <w:rsid w:val="005E4B2B"/>
    <w:rsid w:val="006A2821"/>
    <w:rsid w:val="006F5871"/>
    <w:rsid w:val="007D6D97"/>
    <w:rsid w:val="0083263E"/>
    <w:rsid w:val="00884743"/>
    <w:rsid w:val="00A34770"/>
    <w:rsid w:val="00B471E8"/>
    <w:rsid w:val="00DD507C"/>
    <w:rsid w:val="00E00A72"/>
    <w:rsid w:val="00FC5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color="C00000"/>
        <w:lang w:val="en-US" w:eastAsia="en-US" w:bidi="ar-SA"/>
      </w:rPr>
    </w:rPrDefault>
    <w:pPrDefault>
      <w:pPr>
        <w:spacing w:line="276" w:lineRule="auto"/>
        <w:ind w:left="25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cite">
    <w:name w:val="case_cite"/>
    <w:basedOn w:val="Normal"/>
    <w:rsid w:val="000D1DDE"/>
    <w:pPr>
      <w:spacing w:before="100" w:beforeAutospacing="1" w:after="100" w:afterAutospacing="1" w:line="240" w:lineRule="auto"/>
      <w:ind w:left="0" w:firstLine="0"/>
    </w:pPr>
    <w:rPr>
      <w:rFonts w:eastAsia="Times New Roman"/>
      <w:u w:val="none"/>
    </w:rPr>
  </w:style>
  <w:style w:type="paragraph" w:customStyle="1" w:styleId="parties">
    <w:name w:val="parties"/>
    <w:basedOn w:val="Normal"/>
    <w:rsid w:val="000D1DDE"/>
    <w:pPr>
      <w:spacing w:before="100" w:beforeAutospacing="1" w:after="100" w:afterAutospacing="1" w:line="240" w:lineRule="auto"/>
      <w:ind w:left="0" w:firstLine="0"/>
    </w:pPr>
    <w:rPr>
      <w:rFonts w:eastAsia="Times New Roman"/>
      <w:u w:val="none"/>
    </w:rPr>
  </w:style>
  <w:style w:type="paragraph" w:customStyle="1" w:styleId="date">
    <w:name w:val="date"/>
    <w:basedOn w:val="Normal"/>
    <w:rsid w:val="000D1DDE"/>
    <w:pPr>
      <w:spacing w:before="100" w:beforeAutospacing="1" w:after="100" w:afterAutospacing="1" w:line="240" w:lineRule="auto"/>
      <w:ind w:left="0" w:firstLine="0"/>
    </w:pPr>
    <w:rPr>
      <w:rFonts w:eastAsia="Times New Roman"/>
      <w:u w:val="none"/>
    </w:rPr>
  </w:style>
  <w:style w:type="paragraph" w:customStyle="1" w:styleId="indent">
    <w:name w:val="indent"/>
    <w:basedOn w:val="Normal"/>
    <w:rsid w:val="000D1DDE"/>
    <w:pPr>
      <w:spacing w:before="100" w:beforeAutospacing="1" w:after="100" w:afterAutospacing="1" w:line="240" w:lineRule="auto"/>
      <w:ind w:left="0" w:firstLine="0"/>
    </w:pPr>
    <w:rPr>
      <w:rFonts w:eastAsia="Times New Roman"/>
      <w:u w:val="none"/>
    </w:rPr>
  </w:style>
  <w:style w:type="character" w:customStyle="1" w:styleId="num">
    <w:name w:val="num"/>
    <w:basedOn w:val="DefaultParagraphFont"/>
    <w:rsid w:val="000D1DDE"/>
  </w:style>
  <w:style w:type="paragraph" w:styleId="NormalWeb">
    <w:name w:val="Normal (Web)"/>
    <w:basedOn w:val="Normal"/>
    <w:uiPriority w:val="99"/>
    <w:semiHidden/>
    <w:unhideWhenUsed/>
    <w:rsid w:val="000D1DDE"/>
    <w:pPr>
      <w:spacing w:before="100" w:beforeAutospacing="1" w:after="100" w:afterAutospacing="1" w:line="240" w:lineRule="auto"/>
      <w:ind w:left="0" w:firstLine="0"/>
    </w:pPr>
    <w:rPr>
      <w:rFonts w:eastAsia="Times New Roman"/>
      <w:u w:val="none"/>
    </w:rPr>
  </w:style>
  <w:style w:type="character" w:styleId="Hyperlink">
    <w:name w:val="Hyperlink"/>
    <w:basedOn w:val="DefaultParagraphFont"/>
    <w:uiPriority w:val="99"/>
    <w:unhideWhenUsed/>
    <w:rsid w:val="000D1DDE"/>
    <w:rPr>
      <w:color w:val="0000FF"/>
      <w:u w:val="single"/>
    </w:rPr>
  </w:style>
  <w:style w:type="paragraph" w:styleId="Header">
    <w:name w:val="header"/>
    <w:basedOn w:val="Normal"/>
    <w:link w:val="HeaderChar"/>
    <w:uiPriority w:val="99"/>
    <w:semiHidden/>
    <w:unhideWhenUsed/>
    <w:rsid w:val="002C078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C0782"/>
  </w:style>
  <w:style w:type="paragraph" w:styleId="Footer">
    <w:name w:val="footer"/>
    <w:basedOn w:val="Normal"/>
    <w:link w:val="FooterChar"/>
    <w:uiPriority w:val="99"/>
    <w:unhideWhenUsed/>
    <w:rsid w:val="002C0782"/>
    <w:pPr>
      <w:tabs>
        <w:tab w:val="center" w:pos="4680"/>
        <w:tab w:val="right" w:pos="9360"/>
      </w:tabs>
      <w:spacing w:line="240" w:lineRule="auto"/>
    </w:pPr>
  </w:style>
  <w:style w:type="character" w:customStyle="1" w:styleId="FooterChar">
    <w:name w:val="Footer Char"/>
    <w:basedOn w:val="DefaultParagraphFont"/>
    <w:link w:val="Footer"/>
    <w:uiPriority w:val="99"/>
    <w:rsid w:val="002C0782"/>
  </w:style>
  <w:style w:type="character" w:customStyle="1" w:styleId="url">
    <w:name w:val="url"/>
    <w:basedOn w:val="DefaultParagraphFont"/>
    <w:rsid w:val="004F26D9"/>
  </w:style>
</w:styles>
</file>

<file path=word/webSettings.xml><?xml version="1.0" encoding="utf-8"?>
<w:webSettings xmlns:r="http://schemas.openxmlformats.org/officeDocument/2006/relationships" xmlns:w="http://schemas.openxmlformats.org/wordprocessingml/2006/main">
  <w:divs>
    <w:div w:id="156194939">
      <w:bodyDiv w:val="1"/>
      <w:marLeft w:val="0"/>
      <w:marRight w:val="0"/>
      <w:marTop w:val="0"/>
      <w:marBottom w:val="0"/>
      <w:divBdr>
        <w:top w:val="none" w:sz="0" w:space="0" w:color="auto"/>
        <w:left w:val="none" w:sz="0" w:space="0" w:color="auto"/>
        <w:bottom w:val="none" w:sz="0" w:space="0" w:color="auto"/>
        <w:right w:val="none" w:sz="0" w:space="0" w:color="auto"/>
      </w:divBdr>
      <w:divsChild>
        <w:div w:id="1576548732">
          <w:marLeft w:val="0"/>
          <w:marRight w:val="0"/>
          <w:marTop w:val="0"/>
          <w:marBottom w:val="0"/>
          <w:divBdr>
            <w:top w:val="none" w:sz="0" w:space="0" w:color="auto"/>
            <w:left w:val="none" w:sz="0" w:space="0" w:color="auto"/>
            <w:bottom w:val="none" w:sz="0" w:space="0" w:color="auto"/>
            <w:right w:val="none" w:sz="0" w:space="0" w:color="auto"/>
          </w:divBdr>
        </w:div>
        <w:div w:id="1397629480">
          <w:marLeft w:val="0"/>
          <w:marRight w:val="0"/>
          <w:marTop w:val="0"/>
          <w:marBottom w:val="0"/>
          <w:divBdr>
            <w:top w:val="none" w:sz="0" w:space="0" w:color="auto"/>
            <w:left w:val="none" w:sz="0" w:space="0" w:color="auto"/>
            <w:bottom w:val="none" w:sz="0" w:space="0" w:color="auto"/>
            <w:right w:val="none" w:sz="0" w:space="0" w:color="auto"/>
          </w:divBdr>
        </w:div>
        <w:div w:id="1776515171">
          <w:marLeft w:val="0"/>
          <w:marRight w:val="0"/>
          <w:marTop w:val="0"/>
          <w:marBottom w:val="0"/>
          <w:divBdr>
            <w:top w:val="none" w:sz="0" w:space="0" w:color="auto"/>
            <w:left w:val="none" w:sz="0" w:space="0" w:color="auto"/>
            <w:bottom w:val="none" w:sz="0" w:space="0" w:color="auto"/>
            <w:right w:val="none" w:sz="0" w:space="0" w:color="auto"/>
          </w:divBdr>
        </w:div>
        <w:div w:id="360057352">
          <w:marLeft w:val="0"/>
          <w:marRight w:val="0"/>
          <w:marTop w:val="0"/>
          <w:marBottom w:val="0"/>
          <w:divBdr>
            <w:top w:val="none" w:sz="0" w:space="0" w:color="auto"/>
            <w:left w:val="none" w:sz="0" w:space="0" w:color="auto"/>
            <w:bottom w:val="none" w:sz="0" w:space="0" w:color="auto"/>
            <w:right w:val="none" w:sz="0" w:space="0" w:color="auto"/>
          </w:divBdr>
        </w:div>
        <w:div w:id="1921400312">
          <w:marLeft w:val="0"/>
          <w:marRight w:val="0"/>
          <w:marTop w:val="0"/>
          <w:marBottom w:val="0"/>
          <w:divBdr>
            <w:top w:val="none" w:sz="0" w:space="0" w:color="auto"/>
            <w:left w:val="none" w:sz="0" w:space="0" w:color="auto"/>
            <w:bottom w:val="none" w:sz="0" w:space="0" w:color="auto"/>
            <w:right w:val="none" w:sz="0" w:space="0" w:color="auto"/>
          </w:divBdr>
        </w:div>
        <w:div w:id="1608848261">
          <w:marLeft w:val="0"/>
          <w:marRight w:val="0"/>
          <w:marTop w:val="0"/>
          <w:marBottom w:val="0"/>
          <w:divBdr>
            <w:top w:val="none" w:sz="0" w:space="0" w:color="auto"/>
            <w:left w:val="none" w:sz="0" w:space="0" w:color="auto"/>
            <w:bottom w:val="none" w:sz="0" w:space="0" w:color="auto"/>
            <w:right w:val="none" w:sz="0" w:space="0" w:color="auto"/>
          </w:divBdr>
        </w:div>
        <w:div w:id="1667368170">
          <w:marLeft w:val="0"/>
          <w:marRight w:val="0"/>
          <w:marTop w:val="0"/>
          <w:marBottom w:val="0"/>
          <w:divBdr>
            <w:top w:val="none" w:sz="0" w:space="0" w:color="auto"/>
            <w:left w:val="none" w:sz="0" w:space="0" w:color="auto"/>
            <w:bottom w:val="none" w:sz="0" w:space="0" w:color="auto"/>
            <w:right w:val="none" w:sz="0" w:space="0" w:color="auto"/>
          </w:divBdr>
        </w:div>
        <w:div w:id="406000023">
          <w:marLeft w:val="0"/>
          <w:marRight w:val="0"/>
          <w:marTop w:val="0"/>
          <w:marBottom w:val="0"/>
          <w:divBdr>
            <w:top w:val="none" w:sz="0" w:space="0" w:color="auto"/>
            <w:left w:val="none" w:sz="0" w:space="0" w:color="auto"/>
            <w:bottom w:val="none" w:sz="0" w:space="0" w:color="auto"/>
            <w:right w:val="none" w:sz="0" w:space="0" w:color="auto"/>
          </w:divBdr>
        </w:div>
        <w:div w:id="1692494473">
          <w:marLeft w:val="0"/>
          <w:marRight w:val="0"/>
          <w:marTop w:val="0"/>
          <w:marBottom w:val="0"/>
          <w:divBdr>
            <w:top w:val="none" w:sz="0" w:space="0" w:color="auto"/>
            <w:left w:val="none" w:sz="0" w:space="0" w:color="auto"/>
            <w:bottom w:val="none" w:sz="0" w:space="0" w:color="auto"/>
            <w:right w:val="none" w:sz="0" w:space="0" w:color="auto"/>
          </w:divBdr>
        </w:div>
        <w:div w:id="982003219">
          <w:marLeft w:val="0"/>
          <w:marRight w:val="0"/>
          <w:marTop w:val="0"/>
          <w:marBottom w:val="0"/>
          <w:divBdr>
            <w:top w:val="none" w:sz="0" w:space="0" w:color="auto"/>
            <w:left w:val="none" w:sz="0" w:space="0" w:color="auto"/>
            <w:bottom w:val="none" w:sz="0" w:space="0" w:color="auto"/>
            <w:right w:val="none" w:sz="0" w:space="0" w:color="auto"/>
          </w:divBdr>
        </w:div>
        <w:div w:id="934478470">
          <w:marLeft w:val="0"/>
          <w:marRight w:val="0"/>
          <w:marTop w:val="0"/>
          <w:marBottom w:val="0"/>
          <w:divBdr>
            <w:top w:val="none" w:sz="0" w:space="0" w:color="auto"/>
            <w:left w:val="none" w:sz="0" w:space="0" w:color="auto"/>
            <w:bottom w:val="none" w:sz="0" w:space="0" w:color="auto"/>
            <w:right w:val="none" w:sz="0" w:space="0" w:color="auto"/>
          </w:divBdr>
        </w:div>
        <w:div w:id="1574663286">
          <w:marLeft w:val="0"/>
          <w:marRight w:val="0"/>
          <w:marTop w:val="0"/>
          <w:marBottom w:val="0"/>
          <w:divBdr>
            <w:top w:val="none" w:sz="0" w:space="0" w:color="auto"/>
            <w:left w:val="none" w:sz="0" w:space="0" w:color="auto"/>
            <w:bottom w:val="none" w:sz="0" w:space="0" w:color="auto"/>
            <w:right w:val="none" w:sz="0" w:space="0" w:color="auto"/>
          </w:divBdr>
        </w:div>
        <w:div w:id="57560687">
          <w:marLeft w:val="0"/>
          <w:marRight w:val="0"/>
          <w:marTop w:val="0"/>
          <w:marBottom w:val="0"/>
          <w:divBdr>
            <w:top w:val="none" w:sz="0" w:space="0" w:color="auto"/>
            <w:left w:val="none" w:sz="0" w:space="0" w:color="auto"/>
            <w:bottom w:val="none" w:sz="0" w:space="0" w:color="auto"/>
            <w:right w:val="none" w:sz="0" w:space="0" w:color="auto"/>
          </w:divBdr>
        </w:div>
        <w:div w:id="468936244">
          <w:marLeft w:val="0"/>
          <w:marRight w:val="0"/>
          <w:marTop w:val="0"/>
          <w:marBottom w:val="0"/>
          <w:divBdr>
            <w:top w:val="none" w:sz="0" w:space="0" w:color="auto"/>
            <w:left w:val="none" w:sz="0" w:space="0" w:color="auto"/>
            <w:bottom w:val="none" w:sz="0" w:space="0" w:color="auto"/>
            <w:right w:val="none" w:sz="0" w:space="0" w:color="auto"/>
          </w:divBdr>
        </w:div>
        <w:div w:id="1863977522">
          <w:marLeft w:val="0"/>
          <w:marRight w:val="0"/>
          <w:marTop w:val="0"/>
          <w:marBottom w:val="0"/>
          <w:divBdr>
            <w:top w:val="none" w:sz="0" w:space="0" w:color="auto"/>
            <w:left w:val="none" w:sz="0" w:space="0" w:color="auto"/>
            <w:bottom w:val="none" w:sz="0" w:space="0" w:color="auto"/>
            <w:right w:val="none" w:sz="0" w:space="0" w:color="auto"/>
          </w:divBdr>
        </w:div>
        <w:div w:id="1016035601">
          <w:marLeft w:val="0"/>
          <w:marRight w:val="0"/>
          <w:marTop w:val="0"/>
          <w:marBottom w:val="0"/>
          <w:divBdr>
            <w:top w:val="none" w:sz="0" w:space="0" w:color="auto"/>
            <w:left w:val="none" w:sz="0" w:space="0" w:color="auto"/>
            <w:bottom w:val="none" w:sz="0" w:space="0" w:color="auto"/>
            <w:right w:val="none" w:sz="0" w:space="0" w:color="auto"/>
          </w:divBdr>
        </w:div>
        <w:div w:id="633023658">
          <w:marLeft w:val="0"/>
          <w:marRight w:val="0"/>
          <w:marTop w:val="0"/>
          <w:marBottom w:val="0"/>
          <w:divBdr>
            <w:top w:val="none" w:sz="0" w:space="0" w:color="auto"/>
            <w:left w:val="none" w:sz="0" w:space="0" w:color="auto"/>
            <w:bottom w:val="none" w:sz="0" w:space="0" w:color="auto"/>
            <w:right w:val="none" w:sz="0" w:space="0" w:color="auto"/>
          </w:divBdr>
        </w:div>
        <w:div w:id="163711686">
          <w:marLeft w:val="0"/>
          <w:marRight w:val="0"/>
          <w:marTop w:val="0"/>
          <w:marBottom w:val="0"/>
          <w:divBdr>
            <w:top w:val="none" w:sz="0" w:space="0" w:color="auto"/>
            <w:left w:val="none" w:sz="0" w:space="0" w:color="auto"/>
            <w:bottom w:val="none" w:sz="0" w:space="0" w:color="auto"/>
            <w:right w:val="none" w:sz="0" w:space="0" w:color="auto"/>
          </w:divBdr>
        </w:div>
        <w:div w:id="1644433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resource.org" TargetMode="External"/><Relationship Id="rId3" Type="http://schemas.openxmlformats.org/officeDocument/2006/relationships/webSettings" Target="webSettings.xml"/><Relationship Id="rId7" Type="http://schemas.openxmlformats.org/officeDocument/2006/relationships/hyperlink" Target="http://labs.creativecommons.org/licenses/zero-assert/1.0/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resource.org/pub/us/case/reporter/US/31/31.US.302.html%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n.wikipedia.org/wiki/James_Greenl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4868</Words>
  <Characters>27754</Characters>
  <Application>Microsoft Office Word</Application>
  <DocSecurity>0</DocSecurity>
  <Lines>231</Lines>
  <Paragraphs>65</Paragraphs>
  <ScaleCrop>false</ScaleCrop>
  <Company/>
  <LinksUpToDate>false</LinksUpToDate>
  <CharactersWithSpaces>32557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2015-10-10T18:38:00Z</dcterms:created>
  <dcterms:modified xsi:type="dcterms:W3CDTF">2015-10-10T19:49:00Z</dcterms:modified>
</cp:coreProperties>
</file>